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79" w:rsidRPr="00FE39BA" w:rsidRDefault="00673E79" w:rsidP="00673E79">
      <w:pPr>
        <w:pStyle w:val="Header"/>
        <w:tabs>
          <w:tab w:val="clear" w:pos="9360"/>
          <w:tab w:val="right" w:pos="9720"/>
        </w:tabs>
        <w:ind w:left="990" w:right="-1080"/>
        <w:rPr>
          <w:rFonts w:ascii="GT-Roffe" w:hAnsi="GT-Roffe"/>
          <w:color w:val="000000"/>
          <w:sz w:val="27"/>
          <w:szCs w:val="27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</w:pPr>
      <w:bookmarkStart w:id="0" w:name="_GoBack"/>
      <w:bookmarkEnd w:id="0"/>
      <w:r w:rsidRPr="00FE39BA">
        <w:rPr>
          <w:rFonts w:ascii="GT-Roffe" w:hAnsi="GT-Roffe"/>
          <w:noProof/>
          <w:color w:val="000000"/>
          <w:sz w:val="27"/>
          <w:szCs w:val="27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  <w:drawing>
          <wp:anchor distT="0" distB="0" distL="114300" distR="114300" simplePos="0" relativeHeight="251659264" behindDoc="1" locked="0" layoutInCell="1" allowOverlap="1" wp14:anchorId="6F0A968E" wp14:editId="043EC8CA">
            <wp:simplePos x="0" y="0"/>
            <wp:positionH relativeFrom="column">
              <wp:posOffset>-644635</wp:posOffset>
            </wp:positionH>
            <wp:positionV relativeFrom="paragraph">
              <wp:posOffset>0</wp:posOffset>
            </wp:positionV>
            <wp:extent cx="1297940" cy="1014730"/>
            <wp:effectExtent l="0" t="0" r="0" b="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2" t="40122" r="73986" b="38102"/>
                    <a:stretch/>
                  </pic:blipFill>
                  <pic:spPr bwMode="auto">
                    <a:xfrm>
                      <a:off x="0" y="0"/>
                      <a:ext cx="1297940" cy="101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9BA">
        <w:rPr>
          <w:rFonts w:ascii="GT-Roffe" w:hAnsi="GT-Roffe"/>
          <w:color w:val="000000"/>
          <w:sz w:val="27"/>
          <w:szCs w:val="27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  <w:t>SAN JUAN COUNTY DEPARTMENT OF COMMUNITY DEVELOPMENT</w:t>
      </w:r>
    </w:p>
    <w:p w:rsidR="00673E79" w:rsidRPr="00FE39BA" w:rsidRDefault="00673E79" w:rsidP="00673E79">
      <w:pPr>
        <w:pStyle w:val="Header"/>
        <w:ind w:left="1170" w:right="-1080"/>
        <w:rPr>
          <w:rFonts w:ascii="Tw Cen MT" w:hAnsi="Tw Cen MT"/>
          <w:color w:val="000000"/>
          <w:sz w:val="14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</w:pPr>
    </w:p>
    <w:p w:rsidR="00673E79" w:rsidRDefault="00673E79" w:rsidP="00673E79">
      <w:pPr>
        <w:pStyle w:val="Header"/>
        <w:ind w:left="1260" w:right="-1080"/>
        <w:rPr>
          <w:rFonts w:ascii="Tw Cen MT" w:hAnsi="Tw Cen MT"/>
          <w:color w:val="00000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</w:pPr>
      <w:r>
        <w:rPr>
          <w:rFonts w:ascii="Tw Cen MT" w:hAnsi="Tw Cen MT"/>
          <w:color w:val="00000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  <w:t>135 Rhone Street, PO Box 947, Friday Harbor, WA  98250</w:t>
      </w:r>
    </w:p>
    <w:p w:rsidR="00673E79" w:rsidRDefault="00673E79" w:rsidP="00673E79">
      <w:pPr>
        <w:pStyle w:val="Header"/>
        <w:ind w:left="1260" w:right="-1080"/>
        <w:rPr>
          <w:rFonts w:ascii="Tw Cen MT" w:hAnsi="Tw Cen MT"/>
          <w:color w:val="00000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</w:pPr>
      <w:r>
        <w:rPr>
          <w:rFonts w:ascii="Tw Cen MT" w:hAnsi="Tw Cen MT"/>
          <w:color w:val="00000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  <w:t>(360) 378-2354    |    (360) 378-2116    |    Fax (360) 378-3922</w:t>
      </w:r>
    </w:p>
    <w:p w:rsidR="00673E79" w:rsidRPr="00FE39BA" w:rsidRDefault="00673E79" w:rsidP="00673E79">
      <w:pPr>
        <w:pStyle w:val="Header"/>
        <w:ind w:left="1260" w:right="-1080"/>
        <w:rPr>
          <w:rFonts w:ascii="Tw Cen MT" w:hAnsi="Tw Cen MT"/>
          <w:color w:val="00000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</w:pPr>
      <w:r w:rsidRPr="00FE39BA">
        <w:rPr>
          <w:rFonts w:ascii="Tw Cen MT" w:hAnsi="Tw Cen MT"/>
          <w:color w:val="00000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  <w:t>dcd@sanjuanco.com</w:t>
      </w:r>
      <w:r>
        <w:rPr>
          <w:rFonts w:ascii="Tw Cen MT" w:hAnsi="Tw Cen MT"/>
          <w:color w:val="00000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solidFill>
              <w14:srgbClr w14:val="000000">
                <w14:alpha w14:val="13000"/>
              </w14:srgbClr>
            </w14:solidFill>
          </w14:textFill>
        </w:rPr>
        <w:t xml:space="preserve">     |    www.sanjuanco.com</w:t>
      </w:r>
    </w:p>
    <w:p w:rsidR="00673E79" w:rsidRDefault="00673E79" w:rsidP="00673E79">
      <w:pPr>
        <w:pStyle w:val="Header"/>
      </w:pPr>
    </w:p>
    <w:p w:rsidR="00E51EC4" w:rsidRDefault="00E51EC4" w:rsidP="00673E79">
      <w:pPr>
        <w:ind w:hanging="720"/>
      </w:pPr>
    </w:p>
    <w:p w:rsidR="00210148" w:rsidRDefault="00210148" w:rsidP="00EA4EE7">
      <w:pPr>
        <w:jc w:val="center"/>
        <w:rPr>
          <w:sz w:val="32"/>
          <w:szCs w:val="32"/>
        </w:rPr>
      </w:pPr>
    </w:p>
    <w:p w:rsidR="00DA0848" w:rsidRPr="00E70B26" w:rsidRDefault="00E51EC4" w:rsidP="00EA4EE7">
      <w:pPr>
        <w:jc w:val="center"/>
        <w:rPr>
          <w:sz w:val="32"/>
          <w:szCs w:val="32"/>
        </w:rPr>
      </w:pPr>
      <w:r w:rsidRPr="00E70B26">
        <w:rPr>
          <w:sz w:val="32"/>
          <w:szCs w:val="32"/>
        </w:rPr>
        <w:t>PRESS RELEASE</w:t>
      </w:r>
      <w:r w:rsidR="00B5387B" w:rsidRPr="00E70B26">
        <w:rPr>
          <w:sz w:val="32"/>
          <w:szCs w:val="32"/>
        </w:rPr>
        <w:t xml:space="preserve"> </w:t>
      </w:r>
    </w:p>
    <w:p w:rsidR="000E4258" w:rsidRDefault="00DA0848" w:rsidP="00A40F2B">
      <w:pPr>
        <w:jc w:val="center"/>
        <w:rPr>
          <w:b/>
          <w:sz w:val="28"/>
          <w:szCs w:val="28"/>
        </w:rPr>
      </w:pPr>
      <w:r w:rsidRPr="00A40F2B">
        <w:rPr>
          <w:b/>
          <w:sz w:val="28"/>
          <w:szCs w:val="28"/>
        </w:rPr>
        <w:t>San Juan County</w:t>
      </w:r>
      <w:r w:rsidR="000E4258">
        <w:rPr>
          <w:b/>
          <w:sz w:val="28"/>
          <w:szCs w:val="28"/>
        </w:rPr>
        <w:t xml:space="preserve"> </w:t>
      </w:r>
      <w:r w:rsidRPr="00A40F2B">
        <w:rPr>
          <w:b/>
          <w:sz w:val="28"/>
          <w:szCs w:val="28"/>
        </w:rPr>
        <w:t>Comprehensive Plan</w:t>
      </w:r>
      <w:r w:rsidR="00C25434">
        <w:rPr>
          <w:b/>
          <w:sz w:val="28"/>
          <w:szCs w:val="28"/>
        </w:rPr>
        <w:t xml:space="preserve"> 2036 Update</w:t>
      </w:r>
    </w:p>
    <w:p w:rsidR="000E4258" w:rsidRPr="000E4258" w:rsidRDefault="000E4258" w:rsidP="00A40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Vision, Values, and Priorities</w:t>
      </w:r>
      <w:r w:rsidR="00DA0848" w:rsidRPr="00A40F2B">
        <w:rPr>
          <w:sz w:val="28"/>
          <w:szCs w:val="28"/>
        </w:rPr>
        <w:t xml:space="preserve"> </w:t>
      </w:r>
    </w:p>
    <w:p w:rsidR="009B7FC5" w:rsidRPr="00A40F2B" w:rsidRDefault="000E4258" w:rsidP="00A40F2B">
      <w:pPr>
        <w:jc w:val="center"/>
        <w:rPr>
          <w:sz w:val="28"/>
          <w:szCs w:val="28"/>
        </w:rPr>
        <w:sectPr w:rsidR="009B7FC5" w:rsidRPr="00A40F2B" w:rsidSect="008352D9">
          <w:headerReference w:type="default" r:id="rId9"/>
          <w:footerReference w:type="default" r:id="rId10"/>
          <w:pgSz w:w="12240" w:h="15840"/>
          <w:pgMar w:top="1080" w:right="1800" w:bottom="1440" w:left="1800" w:header="720" w:footer="720" w:gutter="0"/>
          <w:cols w:space="720"/>
          <w:docGrid w:linePitch="360"/>
        </w:sectPr>
      </w:pPr>
      <w:r>
        <w:rPr>
          <w:b/>
          <w:bCs/>
          <w:sz w:val="28"/>
          <w:szCs w:val="28"/>
        </w:rPr>
        <w:t>Public Engagement Opportunity</w:t>
      </w:r>
    </w:p>
    <w:p w:rsidR="00804465" w:rsidRPr="00172382" w:rsidRDefault="00804465" w:rsidP="00B1737A">
      <w:pPr>
        <w:ind w:left="360"/>
        <w:rPr>
          <w:rFonts w:ascii="Calibri" w:hAnsi="Calibri"/>
          <w:sz w:val="22"/>
          <w:szCs w:val="22"/>
        </w:rPr>
      </w:pPr>
    </w:p>
    <w:p w:rsidR="00A40F2B" w:rsidRPr="00172382" w:rsidRDefault="00A40F2B" w:rsidP="00A40F2B">
      <w:pPr>
        <w:ind w:left="360"/>
        <w:rPr>
          <w:rFonts w:ascii="Calibri" w:hAnsi="Calibri"/>
          <w:sz w:val="22"/>
          <w:szCs w:val="22"/>
        </w:rPr>
      </w:pPr>
    </w:p>
    <w:p w:rsidR="0055621D" w:rsidRDefault="00327CDF" w:rsidP="00CC615E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Department of Community De</w:t>
      </w:r>
      <w:r w:rsidR="00367771">
        <w:rPr>
          <w:rFonts w:cs="Arial"/>
          <w:sz w:val="22"/>
          <w:szCs w:val="22"/>
        </w:rPr>
        <w:t xml:space="preserve">velopment will be hosting </w:t>
      </w:r>
      <w:r>
        <w:rPr>
          <w:rFonts w:cs="Arial"/>
          <w:sz w:val="22"/>
          <w:szCs w:val="22"/>
        </w:rPr>
        <w:t>events to elicit public input on the County’</w:t>
      </w:r>
      <w:r w:rsidR="00CC615E">
        <w:rPr>
          <w:rFonts w:cs="Arial"/>
          <w:sz w:val="22"/>
          <w:szCs w:val="22"/>
        </w:rPr>
        <w:t xml:space="preserve">s Comprehensive Plan </w:t>
      </w:r>
      <w:r w:rsidR="00367771">
        <w:rPr>
          <w:rFonts w:cs="Arial"/>
          <w:sz w:val="22"/>
          <w:szCs w:val="22"/>
        </w:rPr>
        <w:t>vision, values, and priorities</w:t>
      </w:r>
      <w:r w:rsidR="0055621D">
        <w:rPr>
          <w:rFonts w:cs="Arial"/>
          <w:sz w:val="22"/>
          <w:szCs w:val="22"/>
        </w:rPr>
        <w:t>.</w:t>
      </w:r>
      <w:r w:rsidR="00F600F2" w:rsidRPr="00445FE5">
        <w:rPr>
          <w:rFonts w:cs="Arial"/>
          <w:sz w:val="22"/>
          <w:szCs w:val="22"/>
        </w:rPr>
        <w:t xml:space="preserve"> The public is </w:t>
      </w:r>
      <w:r w:rsidR="00154951">
        <w:rPr>
          <w:rFonts w:cs="Arial"/>
          <w:sz w:val="22"/>
          <w:szCs w:val="22"/>
        </w:rPr>
        <w:t>encouraged to atten</w:t>
      </w:r>
      <w:r w:rsidR="00367771">
        <w:rPr>
          <w:rFonts w:cs="Arial"/>
          <w:sz w:val="22"/>
          <w:szCs w:val="22"/>
        </w:rPr>
        <w:t>d our</w:t>
      </w:r>
      <w:r w:rsidR="00ED2D68">
        <w:rPr>
          <w:rFonts w:cs="Arial"/>
          <w:sz w:val="22"/>
          <w:szCs w:val="22"/>
        </w:rPr>
        <w:t xml:space="preserve"> Pop-Up Studios and C</w:t>
      </w:r>
      <w:r w:rsidR="00154951">
        <w:rPr>
          <w:rFonts w:cs="Arial"/>
          <w:sz w:val="22"/>
          <w:szCs w:val="22"/>
        </w:rPr>
        <w:t>ommunity Workshops</w:t>
      </w:r>
      <w:r w:rsidR="00860830">
        <w:rPr>
          <w:rFonts w:cs="Arial"/>
          <w:sz w:val="22"/>
          <w:szCs w:val="22"/>
        </w:rPr>
        <w:t>.  Community</w:t>
      </w:r>
      <w:r w:rsidR="00221CC2">
        <w:rPr>
          <w:rFonts w:cs="Arial"/>
          <w:sz w:val="22"/>
          <w:szCs w:val="22"/>
        </w:rPr>
        <w:t xml:space="preserve"> input is vital to ensure that the Vision Statement reflect</w:t>
      </w:r>
      <w:r w:rsidR="003F34AD">
        <w:rPr>
          <w:rFonts w:cs="Arial"/>
          <w:sz w:val="22"/>
          <w:szCs w:val="22"/>
        </w:rPr>
        <w:t>s</w:t>
      </w:r>
      <w:r w:rsidR="00221CC2">
        <w:rPr>
          <w:rFonts w:cs="Arial"/>
          <w:sz w:val="22"/>
          <w:szCs w:val="22"/>
        </w:rPr>
        <w:t xml:space="preserve"> the aspirations of all the residents of San Juan County.  </w:t>
      </w:r>
      <w:r w:rsidR="00CC615E">
        <w:rPr>
          <w:rFonts w:cs="Arial"/>
          <w:sz w:val="22"/>
          <w:szCs w:val="22"/>
        </w:rPr>
        <w:t xml:space="preserve">These events </w:t>
      </w:r>
      <w:r w:rsidR="00C25434">
        <w:rPr>
          <w:rFonts w:cs="Arial"/>
          <w:sz w:val="22"/>
          <w:szCs w:val="22"/>
        </w:rPr>
        <w:t>provide an</w:t>
      </w:r>
      <w:r w:rsidR="00CC615E">
        <w:rPr>
          <w:rFonts w:cs="Arial"/>
          <w:sz w:val="22"/>
          <w:szCs w:val="22"/>
        </w:rPr>
        <w:t xml:space="preserve"> opportunity for residents to participate in shaping the Comprehensive Plan Vision that will guide the county </w:t>
      </w:r>
      <w:r w:rsidR="00C25434">
        <w:rPr>
          <w:rFonts w:cs="Arial"/>
          <w:sz w:val="22"/>
          <w:szCs w:val="22"/>
        </w:rPr>
        <w:t>over</w:t>
      </w:r>
      <w:r w:rsidR="00CC615E">
        <w:rPr>
          <w:rFonts w:cs="Arial"/>
          <w:sz w:val="22"/>
          <w:szCs w:val="22"/>
        </w:rPr>
        <w:t xml:space="preserve"> the next twenty years.  The events will be held at the following times and locations: </w:t>
      </w:r>
    </w:p>
    <w:p w:rsidR="00BE5249" w:rsidRPr="00172382" w:rsidRDefault="00BE5249" w:rsidP="0055621D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tbl>
      <w:tblPr>
        <w:tblStyle w:val="TableGrid"/>
        <w:tblW w:w="4995" w:type="pct"/>
        <w:tblInd w:w="360" w:type="dxa"/>
        <w:tblLook w:val="04A0" w:firstRow="1" w:lastRow="0" w:firstColumn="1" w:lastColumn="0" w:noHBand="0" w:noVBand="1"/>
      </w:tblPr>
      <w:tblGrid>
        <w:gridCol w:w="3055"/>
        <w:gridCol w:w="2429"/>
        <w:gridCol w:w="4288"/>
      </w:tblGrid>
      <w:tr w:rsidR="00F66FFC" w:rsidTr="007633D7">
        <w:tc>
          <w:tcPr>
            <w:tcW w:w="1563" w:type="pct"/>
            <w:tcBorders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San Juan, Monday October 2</w:t>
            </w:r>
          </w:p>
        </w:tc>
        <w:tc>
          <w:tcPr>
            <w:tcW w:w="1243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8:00 a.m. to 4:30 p.m.</w:t>
            </w:r>
          </w:p>
        </w:tc>
        <w:tc>
          <w:tcPr>
            <w:tcW w:w="2194" w:type="pct"/>
            <w:tcBorders>
              <w:left w:val="nil"/>
              <w:bottom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Pop-Up Studio: Market Place</w:t>
            </w:r>
          </w:p>
        </w:tc>
      </w:tr>
      <w:tr w:rsidR="00F66FFC" w:rsidTr="007633D7">
        <w:trPr>
          <w:trHeight w:val="396"/>
        </w:trPr>
        <w:tc>
          <w:tcPr>
            <w:tcW w:w="156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515 Market Street, Friday Harbor</w:t>
            </w:r>
          </w:p>
        </w:tc>
      </w:tr>
      <w:tr w:rsidR="00F66FFC" w:rsidTr="007633D7">
        <w:tc>
          <w:tcPr>
            <w:tcW w:w="156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6:00 p.m. to 8:00 p.m.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Community Workshop: Brickworks</w:t>
            </w:r>
          </w:p>
        </w:tc>
      </w:tr>
      <w:tr w:rsidR="00F66FFC" w:rsidTr="007633D7">
        <w:trPr>
          <w:trHeight w:val="468"/>
        </w:trPr>
        <w:tc>
          <w:tcPr>
            <w:tcW w:w="1563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 Nichols Street, Friday Harbor</w:t>
            </w:r>
          </w:p>
        </w:tc>
      </w:tr>
      <w:tr w:rsidR="00F66FFC" w:rsidTr="007633D7">
        <w:tc>
          <w:tcPr>
            <w:tcW w:w="1563" w:type="pct"/>
            <w:tcBorders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Orcas, Tuesday October 3</w:t>
            </w:r>
          </w:p>
        </w:tc>
        <w:tc>
          <w:tcPr>
            <w:tcW w:w="1243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8:00 a.m. to 4:30 p.m.</w:t>
            </w:r>
          </w:p>
        </w:tc>
        <w:tc>
          <w:tcPr>
            <w:tcW w:w="2194" w:type="pct"/>
            <w:tcBorders>
              <w:left w:val="nil"/>
              <w:bottom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Pop-Up Studio: Island Market</w:t>
            </w:r>
          </w:p>
        </w:tc>
      </w:tr>
      <w:tr w:rsidR="00F66FFC" w:rsidTr="007633D7">
        <w:trPr>
          <w:trHeight w:val="369"/>
        </w:trPr>
        <w:tc>
          <w:tcPr>
            <w:tcW w:w="156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469 Market Street, Eastsound</w:t>
            </w:r>
          </w:p>
        </w:tc>
      </w:tr>
      <w:tr w:rsidR="00F66FFC" w:rsidTr="007633D7">
        <w:tc>
          <w:tcPr>
            <w:tcW w:w="156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6:00 p.m. to 8:00 p.m.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Community Workshop: Orcas High School</w:t>
            </w:r>
          </w:p>
        </w:tc>
      </w:tr>
      <w:tr w:rsidR="00F66FFC" w:rsidTr="007633D7">
        <w:trPr>
          <w:trHeight w:val="576"/>
        </w:trPr>
        <w:tc>
          <w:tcPr>
            <w:tcW w:w="1563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715 School Road, Eastsound</w:t>
            </w:r>
          </w:p>
        </w:tc>
      </w:tr>
      <w:tr w:rsidR="00F66FFC" w:rsidTr="007633D7">
        <w:tc>
          <w:tcPr>
            <w:tcW w:w="1563" w:type="pct"/>
            <w:tcBorders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Lopez, Wednesday October 4</w:t>
            </w:r>
          </w:p>
        </w:tc>
        <w:tc>
          <w:tcPr>
            <w:tcW w:w="1243" w:type="pct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8:00 a.m. to 4:30 p.m.</w:t>
            </w:r>
          </w:p>
        </w:tc>
        <w:tc>
          <w:tcPr>
            <w:tcW w:w="2194" w:type="pct"/>
            <w:tcBorders>
              <w:left w:val="nil"/>
              <w:bottom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Pop-Up Studio: Lopez Village Market</w:t>
            </w:r>
          </w:p>
        </w:tc>
      </w:tr>
      <w:tr w:rsidR="00F66FFC" w:rsidTr="007633D7">
        <w:trPr>
          <w:trHeight w:val="432"/>
        </w:trPr>
        <w:tc>
          <w:tcPr>
            <w:tcW w:w="156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162 Weeks Road, Lopez Village</w:t>
            </w:r>
          </w:p>
        </w:tc>
      </w:tr>
      <w:tr w:rsidR="00F66FFC" w:rsidTr="007633D7">
        <w:tc>
          <w:tcPr>
            <w:tcW w:w="1563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6:00 p.m. to 8:00 p.m.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Community Workshop: Lopez Center for Community and the Arts</w:t>
            </w:r>
          </w:p>
        </w:tc>
      </w:tr>
      <w:tr w:rsidR="00F66FFC" w:rsidTr="007633D7">
        <w:trPr>
          <w:trHeight w:val="576"/>
        </w:trPr>
        <w:tc>
          <w:tcPr>
            <w:tcW w:w="1563" w:type="pct"/>
            <w:tcBorders>
              <w:top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66FFC" w:rsidRDefault="00F66FFC" w:rsidP="00221CC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194" w:type="pct"/>
            <w:tcBorders>
              <w:top w:val="nil"/>
              <w:left w:val="nil"/>
            </w:tcBorders>
            <w:shd w:val="clear" w:color="auto" w:fill="FFFFFF" w:themeFill="background1"/>
          </w:tcPr>
          <w:p w:rsidR="00F66FFC" w:rsidRDefault="00F66FFC" w:rsidP="007633D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2014 Village Road, Lopez Village</w:t>
            </w:r>
          </w:p>
        </w:tc>
      </w:tr>
    </w:tbl>
    <w:p w:rsidR="00A40F2B" w:rsidRPr="00172382" w:rsidRDefault="00A40F2B" w:rsidP="00221CC2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:rsidR="00A40F2B" w:rsidRDefault="00367771" w:rsidP="00A40F2B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</w:t>
      </w:r>
      <w:r w:rsidR="000A0F90">
        <w:rPr>
          <w:rFonts w:cs="Arial"/>
          <w:sz w:val="22"/>
          <w:szCs w:val="22"/>
        </w:rPr>
        <w:t xml:space="preserve"> will be on hand at each event to engage in conversation with the public about the upcoming update to the Comprehensive Plan.  The Pop-Ups will get the </w:t>
      </w:r>
      <w:r w:rsidR="006A0C61">
        <w:rPr>
          <w:rFonts w:cs="Arial"/>
          <w:sz w:val="22"/>
          <w:szCs w:val="22"/>
        </w:rPr>
        <w:t>discussion</w:t>
      </w:r>
      <w:r w:rsidR="000A0F90">
        <w:rPr>
          <w:rFonts w:cs="Arial"/>
          <w:sz w:val="22"/>
          <w:szCs w:val="22"/>
        </w:rPr>
        <w:t xml:space="preserve"> started and the Community Workshops will </w:t>
      </w:r>
      <w:r w:rsidR="00E75D9B">
        <w:rPr>
          <w:rFonts w:cs="Arial"/>
          <w:sz w:val="22"/>
          <w:szCs w:val="22"/>
        </w:rPr>
        <w:t xml:space="preserve">continue the </w:t>
      </w:r>
      <w:r w:rsidR="006A0C61">
        <w:rPr>
          <w:rFonts w:cs="Arial"/>
          <w:sz w:val="22"/>
          <w:szCs w:val="22"/>
        </w:rPr>
        <w:t>exchange of ideas</w:t>
      </w:r>
      <w:r w:rsidR="00E75D9B">
        <w:rPr>
          <w:rFonts w:cs="Arial"/>
          <w:sz w:val="22"/>
          <w:szCs w:val="22"/>
        </w:rPr>
        <w:t xml:space="preserve"> with more depth.</w:t>
      </w:r>
      <w:r w:rsidR="000A0F90">
        <w:rPr>
          <w:rFonts w:cs="Arial"/>
          <w:sz w:val="22"/>
          <w:szCs w:val="22"/>
        </w:rPr>
        <w:t xml:space="preserve"> </w:t>
      </w:r>
      <w:r w:rsidR="00E75D9B">
        <w:rPr>
          <w:rFonts w:cs="Arial"/>
          <w:sz w:val="22"/>
          <w:szCs w:val="22"/>
        </w:rPr>
        <w:t>This dialog will provide indispensable information about how the community</w:t>
      </w:r>
      <w:r w:rsidR="006A0C61">
        <w:rPr>
          <w:rFonts w:cs="Arial"/>
          <w:sz w:val="22"/>
          <w:szCs w:val="22"/>
        </w:rPr>
        <w:t xml:space="preserve"> </w:t>
      </w:r>
      <w:r w:rsidR="00DC5579">
        <w:rPr>
          <w:rFonts w:cs="Arial"/>
          <w:sz w:val="22"/>
          <w:szCs w:val="22"/>
        </w:rPr>
        <w:t xml:space="preserve">wants to face </w:t>
      </w:r>
      <w:r>
        <w:rPr>
          <w:rFonts w:cs="Arial"/>
          <w:sz w:val="22"/>
          <w:szCs w:val="22"/>
        </w:rPr>
        <w:t xml:space="preserve">new </w:t>
      </w:r>
      <w:r w:rsidR="00DC5579">
        <w:rPr>
          <w:rFonts w:cs="Arial"/>
          <w:sz w:val="22"/>
          <w:szCs w:val="22"/>
        </w:rPr>
        <w:t>opportunities and challenges</w:t>
      </w:r>
      <w:r w:rsidR="00E75D9B">
        <w:rPr>
          <w:rFonts w:cs="Arial"/>
          <w:sz w:val="22"/>
          <w:szCs w:val="22"/>
        </w:rPr>
        <w:t xml:space="preserve"> in the coming</w:t>
      </w:r>
      <w:r w:rsidR="000A0F90">
        <w:rPr>
          <w:rFonts w:cs="Arial"/>
          <w:sz w:val="22"/>
          <w:szCs w:val="22"/>
        </w:rPr>
        <w:t xml:space="preserve"> years.</w:t>
      </w:r>
    </w:p>
    <w:p w:rsidR="000A0F90" w:rsidRDefault="000A0F90" w:rsidP="00A40F2B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:rsidR="00E51EC4" w:rsidRPr="00172382" w:rsidRDefault="000A0F90" w:rsidP="000A0F90">
      <w:p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find out more about this upcoming project please contact Adam Zack at (360) 370-7580 or </w:t>
      </w:r>
      <w:hyperlink r:id="rId11" w:history="1">
        <w:r w:rsidRPr="007E7830">
          <w:rPr>
            <w:rStyle w:val="Hyperlink"/>
            <w:rFonts w:cs="Arial"/>
            <w:sz w:val="22"/>
            <w:szCs w:val="22"/>
          </w:rPr>
          <w:t>adamz@sanjuanco.com</w:t>
        </w:r>
      </w:hyperlink>
      <w:r>
        <w:rPr>
          <w:rFonts w:cs="Arial"/>
          <w:sz w:val="22"/>
          <w:szCs w:val="22"/>
        </w:rPr>
        <w:t xml:space="preserve">.  Additional information about these three events can be found on the Department of Community Development website at: </w:t>
      </w:r>
      <w:hyperlink r:id="rId12" w:history="1">
        <w:r w:rsidR="003F34AD" w:rsidRPr="003F34AD">
          <w:rPr>
            <w:rStyle w:val="Hyperlink"/>
            <w:rFonts w:cs="Arial"/>
            <w:sz w:val="22"/>
            <w:szCs w:val="22"/>
          </w:rPr>
          <w:t>http://www.sanjuanco.com/1306/Comprehensive-Plan-Elements</w:t>
        </w:r>
      </w:hyperlink>
    </w:p>
    <w:sectPr w:rsidR="00E51EC4" w:rsidRPr="00172382" w:rsidSect="00951ACB">
      <w:type w:val="continuous"/>
      <w:pgSz w:w="12240" w:h="15840"/>
      <w:pgMar w:top="108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B9" w:rsidRDefault="008F37B9" w:rsidP="00E51EC4">
      <w:r>
        <w:separator/>
      </w:r>
    </w:p>
  </w:endnote>
  <w:endnote w:type="continuationSeparator" w:id="0">
    <w:p w:rsidR="008F37B9" w:rsidRDefault="008F37B9" w:rsidP="00E5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T-Roff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48" w:rsidRPr="00FD2A7B" w:rsidRDefault="00D10E48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B9" w:rsidRDefault="008F37B9" w:rsidP="00E51EC4">
      <w:r>
        <w:separator/>
      </w:r>
    </w:p>
  </w:footnote>
  <w:footnote w:type="continuationSeparator" w:id="0">
    <w:p w:rsidR="008F37B9" w:rsidRDefault="008F37B9" w:rsidP="00E5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0E" w:rsidRDefault="00144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247"/>
    <w:multiLevelType w:val="hybridMultilevel"/>
    <w:tmpl w:val="A042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028A9"/>
    <w:multiLevelType w:val="hybridMultilevel"/>
    <w:tmpl w:val="16F8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B7D97"/>
    <w:multiLevelType w:val="hybridMultilevel"/>
    <w:tmpl w:val="BF7C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A7DFF"/>
    <w:multiLevelType w:val="hybridMultilevel"/>
    <w:tmpl w:val="D912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D9"/>
    <w:rsid w:val="00007F94"/>
    <w:rsid w:val="00022DB9"/>
    <w:rsid w:val="00024F76"/>
    <w:rsid w:val="00025936"/>
    <w:rsid w:val="000331CE"/>
    <w:rsid w:val="00034844"/>
    <w:rsid w:val="000435C2"/>
    <w:rsid w:val="00053B37"/>
    <w:rsid w:val="00054A2F"/>
    <w:rsid w:val="0006496C"/>
    <w:rsid w:val="00064E08"/>
    <w:rsid w:val="00065CA1"/>
    <w:rsid w:val="00067415"/>
    <w:rsid w:val="000674CC"/>
    <w:rsid w:val="00070A03"/>
    <w:rsid w:val="000712E9"/>
    <w:rsid w:val="000748CB"/>
    <w:rsid w:val="00075A9C"/>
    <w:rsid w:val="00076936"/>
    <w:rsid w:val="00076981"/>
    <w:rsid w:val="00080492"/>
    <w:rsid w:val="00082718"/>
    <w:rsid w:val="00085F0A"/>
    <w:rsid w:val="000863F2"/>
    <w:rsid w:val="0008754D"/>
    <w:rsid w:val="00090531"/>
    <w:rsid w:val="000A0F90"/>
    <w:rsid w:val="000A2713"/>
    <w:rsid w:val="000A4620"/>
    <w:rsid w:val="000B0A6B"/>
    <w:rsid w:val="000B0BD7"/>
    <w:rsid w:val="000B2AFC"/>
    <w:rsid w:val="000C2022"/>
    <w:rsid w:val="000C5446"/>
    <w:rsid w:val="000C6925"/>
    <w:rsid w:val="000D0FCA"/>
    <w:rsid w:val="000D2B0F"/>
    <w:rsid w:val="000D3EE2"/>
    <w:rsid w:val="000D445C"/>
    <w:rsid w:val="000E4258"/>
    <w:rsid w:val="000E6E39"/>
    <w:rsid w:val="000F2C3A"/>
    <w:rsid w:val="000F363F"/>
    <w:rsid w:val="000F37C4"/>
    <w:rsid w:val="000F4A68"/>
    <w:rsid w:val="000F786C"/>
    <w:rsid w:val="0010435E"/>
    <w:rsid w:val="00104F1F"/>
    <w:rsid w:val="00110B47"/>
    <w:rsid w:val="00114455"/>
    <w:rsid w:val="0012146B"/>
    <w:rsid w:val="00125575"/>
    <w:rsid w:val="00127FA6"/>
    <w:rsid w:val="001305BD"/>
    <w:rsid w:val="00132FCE"/>
    <w:rsid w:val="001362B9"/>
    <w:rsid w:val="0014400E"/>
    <w:rsid w:val="001450BC"/>
    <w:rsid w:val="00147993"/>
    <w:rsid w:val="001546C6"/>
    <w:rsid w:val="00154808"/>
    <w:rsid w:val="00154951"/>
    <w:rsid w:val="001621D9"/>
    <w:rsid w:val="001647D7"/>
    <w:rsid w:val="00171993"/>
    <w:rsid w:val="00172382"/>
    <w:rsid w:val="001775D1"/>
    <w:rsid w:val="00180180"/>
    <w:rsid w:val="00185E93"/>
    <w:rsid w:val="00192BA1"/>
    <w:rsid w:val="00195E69"/>
    <w:rsid w:val="00195FBF"/>
    <w:rsid w:val="00196BEB"/>
    <w:rsid w:val="001A3BBE"/>
    <w:rsid w:val="001A6EC8"/>
    <w:rsid w:val="001B0440"/>
    <w:rsid w:val="001B205E"/>
    <w:rsid w:val="001B28B6"/>
    <w:rsid w:val="001C1C08"/>
    <w:rsid w:val="001C32C2"/>
    <w:rsid w:val="001C6053"/>
    <w:rsid w:val="001C64EF"/>
    <w:rsid w:val="001C7E8D"/>
    <w:rsid w:val="001C7F36"/>
    <w:rsid w:val="001D08FC"/>
    <w:rsid w:val="001D0BA5"/>
    <w:rsid w:val="001D1126"/>
    <w:rsid w:val="001D2133"/>
    <w:rsid w:val="001D5FF0"/>
    <w:rsid w:val="001F1D54"/>
    <w:rsid w:val="00202194"/>
    <w:rsid w:val="002037D6"/>
    <w:rsid w:val="00210148"/>
    <w:rsid w:val="00211D98"/>
    <w:rsid w:val="00214123"/>
    <w:rsid w:val="00214314"/>
    <w:rsid w:val="0021434C"/>
    <w:rsid w:val="00217F38"/>
    <w:rsid w:val="00221CC2"/>
    <w:rsid w:val="002238BA"/>
    <w:rsid w:val="002263DA"/>
    <w:rsid w:val="002300DE"/>
    <w:rsid w:val="002330F9"/>
    <w:rsid w:val="00237CE8"/>
    <w:rsid w:val="00243036"/>
    <w:rsid w:val="00244629"/>
    <w:rsid w:val="00252830"/>
    <w:rsid w:val="00255FD3"/>
    <w:rsid w:val="00257BEA"/>
    <w:rsid w:val="00264AFE"/>
    <w:rsid w:val="00272EAE"/>
    <w:rsid w:val="00273608"/>
    <w:rsid w:val="002745B0"/>
    <w:rsid w:val="0027560D"/>
    <w:rsid w:val="002758DB"/>
    <w:rsid w:val="00275AE9"/>
    <w:rsid w:val="00277034"/>
    <w:rsid w:val="00280774"/>
    <w:rsid w:val="0028297C"/>
    <w:rsid w:val="002831A4"/>
    <w:rsid w:val="002933F3"/>
    <w:rsid w:val="00293CF7"/>
    <w:rsid w:val="00296AB5"/>
    <w:rsid w:val="002A1B77"/>
    <w:rsid w:val="002A33EC"/>
    <w:rsid w:val="002A429E"/>
    <w:rsid w:val="002A5B76"/>
    <w:rsid w:val="002A67EA"/>
    <w:rsid w:val="002B54EB"/>
    <w:rsid w:val="002C105D"/>
    <w:rsid w:val="002C26B5"/>
    <w:rsid w:val="002C41C3"/>
    <w:rsid w:val="002C47DE"/>
    <w:rsid w:val="002C6374"/>
    <w:rsid w:val="002D0474"/>
    <w:rsid w:val="002D4CEE"/>
    <w:rsid w:val="002E05B6"/>
    <w:rsid w:val="002E096D"/>
    <w:rsid w:val="002E20E1"/>
    <w:rsid w:val="002E345E"/>
    <w:rsid w:val="002E34B2"/>
    <w:rsid w:val="002F3361"/>
    <w:rsid w:val="002F36D9"/>
    <w:rsid w:val="002F4BE4"/>
    <w:rsid w:val="00300A6D"/>
    <w:rsid w:val="00301BA0"/>
    <w:rsid w:val="003039A4"/>
    <w:rsid w:val="0031198E"/>
    <w:rsid w:val="00313FA4"/>
    <w:rsid w:val="00317128"/>
    <w:rsid w:val="00321071"/>
    <w:rsid w:val="00324647"/>
    <w:rsid w:val="00325D94"/>
    <w:rsid w:val="00327CDF"/>
    <w:rsid w:val="0033127B"/>
    <w:rsid w:val="00332AE2"/>
    <w:rsid w:val="00335E3C"/>
    <w:rsid w:val="0033626F"/>
    <w:rsid w:val="0034179F"/>
    <w:rsid w:val="00343D9A"/>
    <w:rsid w:val="00363DC3"/>
    <w:rsid w:val="00367771"/>
    <w:rsid w:val="003708F2"/>
    <w:rsid w:val="003725FC"/>
    <w:rsid w:val="00375172"/>
    <w:rsid w:val="003801FB"/>
    <w:rsid w:val="0038246B"/>
    <w:rsid w:val="00386CEA"/>
    <w:rsid w:val="00387796"/>
    <w:rsid w:val="00387D61"/>
    <w:rsid w:val="0039016A"/>
    <w:rsid w:val="003905C9"/>
    <w:rsid w:val="00390919"/>
    <w:rsid w:val="00397042"/>
    <w:rsid w:val="003A38F1"/>
    <w:rsid w:val="003B69D6"/>
    <w:rsid w:val="003B798E"/>
    <w:rsid w:val="003C56AC"/>
    <w:rsid w:val="003C673A"/>
    <w:rsid w:val="003C7B9F"/>
    <w:rsid w:val="003D3AA6"/>
    <w:rsid w:val="003E016D"/>
    <w:rsid w:val="003E226F"/>
    <w:rsid w:val="003E5142"/>
    <w:rsid w:val="003E5D2A"/>
    <w:rsid w:val="003F08AA"/>
    <w:rsid w:val="003F1178"/>
    <w:rsid w:val="003F34AD"/>
    <w:rsid w:val="003F7D51"/>
    <w:rsid w:val="00401555"/>
    <w:rsid w:val="00401647"/>
    <w:rsid w:val="00405599"/>
    <w:rsid w:val="0041172C"/>
    <w:rsid w:val="00415479"/>
    <w:rsid w:val="00425812"/>
    <w:rsid w:val="00437E4D"/>
    <w:rsid w:val="0045473D"/>
    <w:rsid w:val="00455B57"/>
    <w:rsid w:val="00463FDC"/>
    <w:rsid w:val="00466F66"/>
    <w:rsid w:val="004757B0"/>
    <w:rsid w:val="0048481B"/>
    <w:rsid w:val="004849A2"/>
    <w:rsid w:val="00485BF6"/>
    <w:rsid w:val="00486800"/>
    <w:rsid w:val="00493C9A"/>
    <w:rsid w:val="004A1B4A"/>
    <w:rsid w:val="004A3581"/>
    <w:rsid w:val="004A3CA3"/>
    <w:rsid w:val="004B04D2"/>
    <w:rsid w:val="004B589E"/>
    <w:rsid w:val="004B639D"/>
    <w:rsid w:val="004C2213"/>
    <w:rsid w:val="004C2C80"/>
    <w:rsid w:val="004C4D1B"/>
    <w:rsid w:val="004D57DE"/>
    <w:rsid w:val="004D6C3B"/>
    <w:rsid w:val="004E2C27"/>
    <w:rsid w:val="004E50AC"/>
    <w:rsid w:val="004F2E6D"/>
    <w:rsid w:val="004F7953"/>
    <w:rsid w:val="0050306D"/>
    <w:rsid w:val="00504A60"/>
    <w:rsid w:val="00512AD7"/>
    <w:rsid w:val="00513343"/>
    <w:rsid w:val="00513661"/>
    <w:rsid w:val="00526E36"/>
    <w:rsid w:val="00530023"/>
    <w:rsid w:val="0054154A"/>
    <w:rsid w:val="00542B3A"/>
    <w:rsid w:val="00546A75"/>
    <w:rsid w:val="00546F4B"/>
    <w:rsid w:val="005538E7"/>
    <w:rsid w:val="0055526E"/>
    <w:rsid w:val="00555E23"/>
    <w:rsid w:val="0055621D"/>
    <w:rsid w:val="00560C59"/>
    <w:rsid w:val="005625B0"/>
    <w:rsid w:val="005626DC"/>
    <w:rsid w:val="005664ED"/>
    <w:rsid w:val="005677FA"/>
    <w:rsid w:val="00574196"/>
    <w:rsid w:val="00576100"/>
    <w:rsid w:val="00576DC6"/>
    <w:rsid w:val="00593741"/>
    <w:rsid w:val="00593D6D"/>
    <w:rsid w:val="00594553"/>
    <w:rsid w:val="00597AAE"/>
    <w:rsid w:val="005A50C5"/>
    <w:rsid w:val="005B2088"/>
    <w:rsid w:val="005B2CCB"/>
    <w:rsid w:val="005B2E31"/>
    <w:rsid w:val="005B7C2E"/>
    <w:rsid w:val="005C00D1"/>
    <w:rsid w:val="005C48B7"/>
    <w:rsid w:val="005C7C9A"/>
    <w:rsid w:val="005D169E"/>
    <w:rsid w:val="005D3435"/>
    <w:rsid w:val="005D62C7"/>
    <w:rsid w:val="005E1FBC"/>
    <w:rsid w:val="005E53F2"/>
    <w:rsid w:val="005E5FBB"/>
    <w:rsid w:val="005E745D"/>
    <w:rsid w:val="005F10C1"/>
    <w:rsid w:val="00601C9C"/>
    <w:rsid w:val="006142A0"/>
    <w:rsid w:val="00614FA7"/>
    <w:rsid w:val="00616E5E"/>
    <w:rsid w:val="00626495"/>
    <w:rsid w:val="00626992"/>
    <w:rsid w:val="006304F5"/>
    <w:rsid w:val="00632169"/>
    <w:rsid w:val="00642067"/>
    <w:rsid w:val="00644383"/>
    <w:rsid w:val="00644526"/>
    <w:rsid w:val="00646CA6"/>
    <w:rsid w:val="006475FB"/>
    <w:rsid w:val="00651312"/>
    <w:rsid w:val="00652A1D"/>
    <w:rsid w:val="00660207"/>
    <w:rsid w:val="006618F6"/>
    <w:rsid w:val="006631B0"/>
    <w:rsid w:val="00663526"/>
    <w:rsid w:val="00665DC9"/>
    <w:rsid w:val="006702CE"/>
    <w:rsid w:val="0067059F"/>
    <w:rsid w:val="00670F25"/>
    <w:rsid w:val="00673E79"/>
    <w:rsid w:val="00676B5D"/>
    <w:rsid w:val="00677F61"/>
    <w:rsid w:val="00683ABF"/>
    <w:rsid w:val="00683E1C"/>
    <w:rsid w:val="006869F6"/>
    <w:rsid w:val="00691CCB"/>
    <w:rsid w:val="00692ECF"/>
    <w:rsid w:val="00697776"/>
    <w:rsid w:val="006A0C61"/>
    <w:rsid w:val="006A349E"/>
    <w:rsid w:val="006B165E"/>
    <w:rsid w:val="006B16D0"/>
    <w:rsid w:val="006C51A0"/>
    <w:rsid w:val="006D0BFD"/>
    <w:rsid w:val="006D1945"/>
    <w:rsid w:val="006D4EDF"/>
    <w:rsid w:val="006D64A9"/>
    <w:rsid w:val="006E0A6C"/>
    <w:rsid w:val="006F4517"/>
    <w:rsid w:val="006F743B"/>
    <w:rsid w:val="0070459B"/>
    <w:rsid w:val="00707CC3"/>
    <w:rsid w:val="00712DD7"/>
    <w:rsid w:val="007131DF"/>
    <w:rsid w:val="00720812"/>
    <w:rsid w:val="0072098B"/>
    <w:rsid w:val="0072187B"/>
    <w:rsid w:val="00726689"/>
    <w:rsid w:val="00727BBA"/>
    <w:rsid w:val="0073164D"/>
    <w:rsid w:val="00734270"/>
    <w:rsid w:val="0073737B"/>
    <w:rsid w:val="00744D9F"/>
    <w:rsid w:val="0074553D"/>
    <w:rsid w:val="00746939"/>
    <w:rsid w:val="0074724C"/>
    <w:rsid w:val="00760D38"/>
    <w:rsid w:val="007633D7"/>
    <w:rsid w:val="00771790"/>
    <w:rsid w:val="007750A8"/>
    <w:rsid w:val="00775E2F"/>
    <w:rsid w:val="00786FD9"/>
    <w:rsid w:val="007870BD"/>
    <w:rsid w:val="0079039D"/>
    <w:rsid w:val="007940CD"/>
    <w:rsid w:val="00795F55"/>
    <w:rsid w:val="007A017C"/>
    <w:rsid w:val="007A1735"/>
    <w:rsid w:val="007A4590"/>
    <w:rsid w:val="007A4B21"/>
    <w:rsid w:val="007A6D18"/>
    <w:rsid w:val="007B4448"/>
    <w:rsid w:val="007C12E9"/>
    <w:rsid w:val="007C2F5F"/>
    <w:rsid w:val="007D067B"/>
    <w:rsid w:val="007D20FD"/>
    <w:rsid w:val="007D2145"/>
    <w:rsid w:val="007D299F"/>
    <w:rsid w:val="007D3F56"/>
    <w:rsid w:val="007D5834"/>
    <w:rsid w:val="007E045C"/>
    <w:rsid w:val="007E20A7"/>
    <w:rsid w:val="007E4C98"/>
    <w:rsid w:val="007F42D2"/>
    <w:rsid w:val="007F7E79"/>
    <w:rsid w:val="00801A95"/>
    <w:rsid w:val="00801CF0"/>
    <w:rsid w:val="00803D48"/>
    <w:rsid w:val="00804465"/>
    <w:rsid w:val="0080519A"/>
    <w:rsid w:val="00807C5A"/>
    <w:rsid w:val="00810040"/>
    <w:rsid w:val="0081008C"/>
    <w:rsid w:val="0081015E"/>
    <w:rsid w:val="0081217A"/>
    <w:rsid w:val="00812381"/>
    <w:rsid w:val="008143E1"/>
    <w:rsid w:val="00817F30"/>
    <w:rsid w:val="008262C6"/>
    <w:rsid w:val="00826DCF"/>
    <w:rsid w:val="00830593"/>
    <w:rsid w:val="0083306E"/>
    <w:rsid w:val="0083366C"/>
    <w:rsid w:val="008352D9"/>
    <w:rsid w:val="008360EA"/>
    <w:rsid w:val="00837E7C"/>
    <w:rsid w:val="00842737"/>
    <w:rsid w:val="00843673"/>
    <w:rsid w:val="0084792F"/>
    <w:rsid w:val="0085627E"/>
    <w:rsid w:val="008576BF"/>
    <w:rsid w:val="00857779"/>
    <w:rsid w:val="00860830"/>
    <w:rsid w:val="008648A8"/>
    <w:rsid w:val="0088078B"/>
    <w:rsid w:val="00883BC8"/>
    <w:rsid w:val="00884F05"/>
    <w:rsid w:val="008857F9"/>
    <w:rsid w:val="00886987"/>
    <w:rsid w:val="00890821"/>
    <w:rsid w:val="00891B02"/>
    <w:rsid w:val="00896629"/>
    <w:rsid w:val="008B034B"/>
    <w:rsid w:val="008B0DAB"/>
    <w:rsid w:val="008B3F0C"/>
    <w:rsid w:val="008B3FCC"/>
    <w:rsid w:val="008C173A"/>
    <w:rsid w:val="008D014C"/>
    <w:rsid w:val="008E2480"/>
    <w:rsid w:val="008E5291"/>
    <w:rsid w:val="008E6354"/>
    <w:rsid w:val="008E7245"/>
    <w:rsid w:val="008F0714"/>
    <w:rsid w:val="008F37B9"/>
    <w:rsid w:val="008F7AA7"/>
    <w:rsid w:val="0090254A"/>
    <w:rsid w:val="00902F73"/>
    <w:rsid w:val="00904A1D"/>
    <w:rsid w:val="00907246"/>
    <w:rsid w:val="009077DA"/>
    <w:rsid w:val="00914ECB"/>
    <w:rsid w:val="00916ACC"/>
    <w:rsid w:val="00924735"/>
    <w:rsid w:val="009270EE"/>
    <w:rsid w:val="00930166"/>
    <w:rsid w:val="00936B7D"/>
    <w:rsid w:val="00941AC8"/>
    <w:rsid w:val="00941BF8"/>
    <w:rsid w:val="0094309E"/>
    <w:rsid w:val="00943AA2"/>
    <w:rsid w:val="0094552B"/>
    <w:rsid w:val="00945AB2"/>
    <w:rsid w:val="00951ACB"/>
    <w:rsid w:val="00954F06"/>
    <w:rsid w:val="0096131D"/>
    <w:rsid w:val="00971BE8"/>
    <w:rsid w:val="00981CAE"/>
    <w:rsid w:val="00983EC4"/>
    <w:rsid w:val="0098493D"/>
    <w:rsid w:val="00994A22"/>
    <w:rsid w:val="009A37A2"/>
    <w:rsid w:val="009A715F"/>
    <w:rsid w:val="009B04B7"/>
    <w:rsid w:val="009B4A50"/>
    <w:rsid w:val="009B5DAE"/>
    <w:rsid w:val="009B7FC5"/>
    <w:rsid w:val="009C14FA"/>
    <w:rsid w:val="009C1979"/>
    <w:rsid w:val="009C41A9"/>
    <w:rsid w:val="009C5BEB"/>
    <w:rsid w:val="009D4843"/>
    <w:rsid w:val="009D63C1"/>
    <w:rsid w:val="009D6FCA"/>
    <w:rsid w:val="009F10FB"/>
    <w:rsid w:val="00A0279A"/>
    <w:rsid w:val="00A0352A"/>
    <w:rsid w:val="00A05316"/>
    <w:rsid w:val="00A05401"/>
    <w:rsid w:val="00A22EF9"/>
    <w:rsid w:val="00A23828"/>
    <w:rsid w:val="00A30B4D"/>
    <w:rsid w:val="00A3238A"/>
    <w:rsid w:val="00A4067D"/>
    <w:rsid w:val="00A40F2B"/>
    <w:rsid w:val="00A4279F"/>
    <w:rsid w:val="00A45702"/>
    <w:rsid w:val="00A45818"/>
    <w:rsid w:val="00A4581B"/>
    <w:rsid w:val="00A47C3C"/>
    <w:rsid w:val="00A515B8"/>
    <w:rsid w:val="00A57885"/>
    <w:rsid w:val="00A57BB3"/>
    <w:rsid w:val="00A72BDD"/>
    <w:rsid w:val="00A7617C"/>
    <w:rsid w:val="00A77A09"/>
    <w:rsid w:val="00A80D23"/>
    <w:rsid w:val="00A843E6"/>
    <w:rsid w:val="00A93CFB"/>
    <w:rsid w:val="00A95552"/>
    <w:rsid w:val="00A96989"/>
    <w:rsid w:val="00A97C98"/>
    <w:rsid w:val="00AA23E0"/>
    <w:rsid w:val="00AA2D34"/>
    <w:rsid w:val="00AA5558"/>
    <w:rsid w:val="00AA69D8"/>
    <w:rsid w:val="00AA6C26"/>
    <w:rsid w:val="00AB1BBE"/>
    <w:rsid w:val="00AB5B5C"/>
    <w:rsid w:val="00AB7AB4"/>
    <w:rsid w:val="00AC1187"/>
    <w:rsid w:val="00AC178C"/>
    <w:rsid w:val="00AC361D"/>
    <w:rsid w:val="00AC598E"/>
    <w:rsid w:val="00AC6791"/>
    <w:rsid w:val="00AD1AB8"/>
    <w:rsid w:val="00AD445D"/>
    <w:rsid w:val="00AE087E"/>
    <w:rsid w:val="00AE1BF1"/>
    <w:rsid w:val="00AE4042"/>
    <w:rsid w:val="00AE41C3"/>
    <w:rsid w:val="00AE65DB"/>
    <w:rsid w:val="00AE67FC"/>
    <w:rsid w:val="00AF0CE2"/>
    <w:rsid w:val="00AF235E"/>
    <w:rsid w:val="00AF2490"/>
    <w:rsid w:val="00AF2726"/>
    <w:rsid w:val="00AF7BDB"/>
    <w:rsid w:val="00B02FBD"/>
    <w:rsid w:val="00B0547A"/>
    <w:rsid w:val="00B0548C"/>
    <w:rsid w:val="00B136EA"/>
    <w:rsid w:val="00B1737A"/>
    <w:rsid w:val="00B17CE6"/>
    <w:rsid w:val="00B20759"/>
    <w:rsid w:val="00B229FD"/>
    <w:rsid w:val="00B30BB7"/>
    <w:rsid w:val="00B34693"/>
    <w:rsid w:val="00B36581"/>
    <w:rsid w:val="00B40AC8"/>
    <w:rsid w:val="00B4101F"/>
    <w:rsid w:val="00B4130A"/>
    <w:rsid w:val="00B43039"/>
    <w:rsid w:val="00B5387B"/>
    <w:rsid w:val="00B53EE0"/>
    <w:rsid w:val="00B55A00"/>
    <w:rsid w:val="00B55DA3"/>
    <w:rsid w:val="00B57BFD"/>
    <w:rsid w:val="00B62C4A"/>
    <w:rsid w:val="00B62E8B"/>
    <w:rsid w:val="00B672DA"/>
    <w:rsid w:val="00B673D3"/>
    <w:rsid w:val="00B72B3C"/>
    <w:rsid w:val="00B751CB"/>
    <w:rsid w:val="00B8651F"/>
    <w:rsid w:val="00BA05EB"/>
    <w:rsid w:val="00BA0D9D"/>
    <w:rsid w:val="00BA0FCD"/>
    <w:rsid w:val="00BA1A3D"/>
    <w:rsid w:val="00BA1B40"/>
    <w:rsid w:val="00BA4578"/>
    <w:rsid w:val="00BA54AA"/>
    <w:rsid w:val="00BA60BD"/>
    <w:rsid w:val="00BB1844"/>
    <w:rsid w:val="00BB1F63"/>
    <w:rsid w:val="00BC0F77"/>
    <w:rsid w:val="00BC66C1"/>
    <w:rsid w:val="00BD18AB"/>
    <w:rsid w:val="00BD241E"/>
    <w:rsid w:val="00BD4AFC"/>
    <w:rsid w:val="00BE2266"/>
    <w:rsid w:val="00BE5249"/>
    <w:rsid w:val="00BE69E3"/>
    <w:rsid w:val="00BE71C4"/>
    <w:rsid w:val="00BF1B66"/>
    <w:rsid w:val="00C01220"/>
    <w:rsid w:val="00C0256C"/>
    <w:rsid w:val="00C11BF2"/>
    <w:rsid w:val="00C14609"/>
    <w:rsid w:val="00C21769"/>
    <w:rsid w:val="00C23BC7"/>
    <w:rsid w:val="00C25434"/>
    <w:rsid w:val="00C30575"/>
    <w:rsid w:val="00C30624"/>
    <w:rsid w:val="00C319BB"/>
    <w:rsid w:val="00C36AE1"/>
    <w:rsid w:val="00C3707D"/>
    <w:rsid w:val="00C372B2"/>
    <w:rsid w:val="00C430CE"/>
    <w:rsid w:val="00C43D98"/>
    <w:rsid w:val="00C4406A"/>
    <w:rsid w:val="00C45C99"/>
    <w:rsid w:val="00C47CED"/>
    <w:rsid w:val="00C55788"/>
    <w:rsid w:val="00C66BF4"/>
    <w:rsid w:val="00C8046C"/>
    <w:rsid w:val="00C8322C"/>
    <w:rsid w:val="00C9067B"/>
    <w:rsid w:val="00CA5FB3"/>
    <w:rsid w:val="00CA6391"/>
    <w:rsid w:val="00CB0C6F"/>
    <w:rsid w:val="00CB50AE"/>
    <w:rsid w:val="00CB7163"/>
    <w:rsid w:val="00CC191E"/>
    <w:rsid w:val="00CC5A8B"/>
    <w:rsid w:val="00CC5D6B"/>
    <w:rsid w:val="00CC615E"/>
    <w:rsid w:val="00CD0549"/>
    <w:rsid w:val="00CD175E"/>
    <w:rsid w:val="00CD4D88"/>
    <w:rsid w:val="00CE614A"/>
    <w:rsid w:val="00CF03EA"/>
    <w:rsid w:val="00CF1BEB"/>
    <w:rsid w:val="00CF715F"/>
    <w:rsid w:val="00CF72FB"/>
    <w:rsid w:val="00D03445"/>
    <w:rsid w:val="00D038DD"/>
    <w:rsid w:val="00D06A4E"/>
    <w:rsid w:val="00D06AFD"/>
    <w:rsid w:val="00D0720A"/>
    <w:rsid w:val="00D07645"/>
    <w:rsid w:val="00D104A6"/>
    <w:rsid w:val="00D10E48"/>
    <w:rsid w:val="00D178BF"/>
    <w:rsid w:val="00D2212B"/>
    <w:rsid w:val="00D2272D"/>
    <w:rsid w:val="00D22C3E"/>
    <w:rsid w:val="00D2621B"/>
    <w:rsid w:val="00D27EF0"/>
    <w:rsid w:val="00D30AC3"/>
    <w:rsid w:val="00D3370C"/>
    <w:rsid w:val="00D33807"/>
    <w:rsid w:val="00D42500"/>
    <w:rsid w:val="00D435C1"/>
    <w:rsid w:val="00D453BC"/>
    <w:rsid w:val="00D5340E"/>
    <w:rsid w:val="00D53E57"/>
    <w:rsid w:val="00D6229E"/>
    <w:rsid w:val="00D67957"/>
    <w:rsid w:val="00D700CC"/>
    <w:rsid w:val="00D743B7"/>
    <w:rsid w:val="00D7578A"/>
    <w:rsid w:val="00D825DB"/>
    <w:rsid w:val="00D82FEC"/>
    <w:rsid w:val="00D87328"/>
    <w:rsid w:val="00D9262F"/>
    <w:rsid w:val="00D93D31"/>
    <w:rsid w:val="00DA03F8"/>
    <w:rsid w:val="00DA0848"/>
    <w:rsid w:val="00DA714D"/>
    <w:rsid w:val="00DA760F"/>
    <w:rsid w:val="00DB1BE1"/>
    <w:rsid w:val="00DB25AB"/>
    <w:rsid w:val="00DB3E74"/>
    <w:rsid w:val="00DB5FE7"/>
    <w:rsid w:val="00DB67B1"/>
    <w:rsid w:val="00DB6D7F"/>
    <w:rsid w:val="00DC5579"/>
    <w:rsid w:val="00DC5C72"/>
    <w:rsid w:val="00DC7A47"/>
    <w:rsid w:val="00DD548F"/>
    <w:rsid w:val="00DD7E84"/>
    <w:rsid w:val="00DF09D6"/>
    <w:rsid w:val="00DF1BE0"/>
    <w:rsid w:val="00DF3481"/>
    <w:rsid w:val="00DF3CF0"/>
    <w:rsid w:val="00DF501B"/>
    <w:rsid w:val="00E01F89"/>
    <w:rsid w:val="00E02479"/>
    <w:rsid w:val="00E053BA"/>
    <w:rsid w:val="00E06150"/>
    <w:rsid w:val="00E14780"/>
    <w:rsid w:val="00E1781A"/>
    <w:rsid w:val="00E2485C"/>
    <w:rsid w:val="00E258BE"/>
    <w:rsid w:val="00E32C02"/>
    <w:rsid w:val="00E37122"/>
    <w:rsid w:val="00E37D74"/>
    <w:rsid w:val="00E467DA"/>
    <w:rsid w:val="00E479C7"/>
    <w:rsid w:val="00E516D4"/>
    <w:rsid w:val="00E51EC4"/>
    <w:rsid w:val="00E56EE7"/>
    <w:rsid w:val="00E57ED6"/>
    <w:rsid w:val="00E612C4"/>
    <w:rsid w:val="00E6140D"/>
    <w:rsid w:val="00E61617"/>
    <w:rsid w:val="00E64A77"/>
    <w:rsid w:val="00E6638C"/>
    <w:rsid w:val="00E67137"/>
    <w:rsid w:val="00E70B26"/>
    <w:rsid w:val="00E70D59"/>
    <w:rsid w:val="00E719AF"/>
    <w:rsid w:val="00E7298B"/>
    <w:rsid w:val="00E73FB0"/>
    <w:rsid w:val="00E75783"/>
    <w:rsid w:val="00E7587D"/>
    <w:rsid w:val="00E75D9B"/>
    <w:rsid w:val="00E775C8"/>
    <w:rsid w:val="00E803D6"/>
    <w:rsid w:val="00E80B69"/>
    <w:rsid w:val="00E84C7B"/>
    <w:rsid w:val="00E91F54"/>
    <w:rsid w:val="00E92993"/>
    <w:rsid w:val="00E967E4"/>
    <w:rsid w:val="00EA3CE1"/>
    <w:rsid w:val="00EA451D"/>
    <w:rsid w:val="00EA4EE7"/>
    <w:rsid w:val="00EA6CE3"/>
    <w:rsid w:val="00EB4977"/>
    <w:rsid w:val="00EB6B1A"/>
    <w:rsid w:val="00EC0EBE"/>
    <w:rsid w:val="00ED2D68"/>
    <w:rsid w:val="00EE2F05"/>
    <w:rsid w:val="00EE4747"/>
    <w:rsid w:val="00EE5724"/>
    <w:rsid w:val="00EF0010"/>
    <w:rsid w:val="00EF31B6"/>
    <w:rsid w:val="00F06721"/>
    <w:rsid w:val="00F10C9C"/>
    <w:rsid w:val="00F20DA9"/>
    <w:rsid w:val="00F23747"/>
    <w:rsid w:val="00F317F4"/>
    <w:rsid w:val="00F34D73"/>
    <w:rsid w:val="00F35280"/>
    <w:rsid w:val="00F35943"/>
    <w:rsid w:val="00F37E57"/>
    <w:rsid w:val="00F42AC8"/>
    <w:rsid w:val="00F4347E"/>
    <w:rsid w:val="00F4643F"/>
    <w:rsid w:val="00F46DE9"/>
    <w:rsid w:val="00F50F43"/>
    <w:rsid w:val="00F5235E"/>
    <w:rsid w:val="00F5272E"/>
    <w:rsid w:val="00F540D7"/>
    <w:rsid w:val="00F600F2"/>
    <w:rsid w:val="00F62DCB"/>
    <w:rsid w:val="00F66FFC"/>
    <w:rsid w:val="00F71982"/>
    <w:rsid w:val="00F759E6"/>
    <w:rsid w:val="00F76345"/>
    <w:rsid w:val="00F77AC0"/>
    <w:rsid w:val="00F8102A"/>
    <w:rsid w:val="00F81CEE"/>
    <w:rsid w:val="00F81F6B"/>
    <w:rsid w:val="00F82D4B"/>
    <w:rsid w:val="00F832E1"/>
    <w:rsid w:val="00F91480"/>
    <w:rsid w:val="00FA4E04"/>
    <w:rsid w:val="00FA5B5F"/>
    <w:rsid w:val="00FB7EF8"/>
    <w:rsid w:val="00FC18B7"/>
    <w:rsid w:val="00FD2A7B"/>
    <w:rsid w:val="00FD3613"/>
    <w:rsid w:val="00FE1005"/>
    <w:rsid w:val="00FE4393"/>
    <w:rsid w:val="00FE5742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85371C55-864A-4D1F-ABE5-5C067BA6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D9"/>
    <w:rPr>
      <w:rFonts w:ascii="Arial" w:hAnsi="Arial"/>
      <w:spacing w:val="-3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autoRedefine/>
    <w:rsid w:val="00277034"/>
    <w:pPr>
      <w:spacing w:line="480" w:lineRule="auto"/>
      <w:ind w:firstLine="720"/>
    </w:pPr>
  </w:style>
  <w:style w:type="table" w:styleId="TableGrid">
    <w:name w:val="Table Grid"/>
    <w:basedOn w:val="TableNormal"/>
    <w:rsid w:val="0083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52D9"/>
    <w:rPr>
      <w:rFonts w:ascii="Tahoma" w:hAnsi="Tahoma" w:cs="Tahoma"/>
      <w:szCs w:val="16"/>
    </w:rPr>
  </w:style>
  <w:style w:type="character" w:styleId="Hyperlink">
    <w:name w:val="Hyperlink"/>
    <w:rsid w:val="00E56E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7F36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styleId="Header">
    <w:name w:val="header"/>
    <w:basedOn w:val="Normal"/>
    <w:link w:val="HeaderChar"/>
    <w:uiPriority w:val="99"/>
    <w:rsid w:val="00E51E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1EC4"/>
    <w:rPr>
      <w:rFonts w:ascii="Arial" w:hAnsi="Arial"/>
      <w:spacing w:val="-3"/>
      <w:sz w:val="16"/>
    </w:rPr>
  </w:style>
  <w:style w:type="paragraph" w:styleId="Footer">
    <w:name w:val="footer"/>
    <w:basedOn w:val="Normal"/>
    <w:link w:val="FooterChar"/>
    <w:rsid w:val="00E51E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EC4"/>
    <w:rPr>
      <w:rFonts w:ascii="Arial" w:hAnsi="Arial"/>
      <w:spacing w:val="-3"/>
      <w:sz w:val="16"/>
    </w:rPr>
  </w:style>
  <w:style w:type="paragraph" w:customStyle="1" w:styleId="Default">
    <w:name w:val="Default"/>
    <w:rsid w:val="00DA08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3F34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njuanco.com/1306/Comprehensive-Plan-Ele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z@sanjuanco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6D347-4276-4686-BE9B-F958D30B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 Juan County</Company>
  <LinksUpToDate>false</LinksUpToDate>
  <CharactersWithSpaces>2386</CharactersWithSpaces>
  <SharedDoc>false</SharedDoc>
  <HLinks>
    <vt:vector size="6" baseType="variant"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http://www.sanjuanco.com./cdp/default.aspx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stanm</dc:creator>
  <cp:keywords/>
  <cp:lastModifiedBy>Adam Zack</cp:lastModifiedBy>
  <cp:revision>2</cp:revision>
  <cp:lastPrinted>2017-09-12T18:29:00Z</cp:lastPrinted>
  <dcterms:created xsi:type="dcterms:W3CDTF">2017-09-15T16:54:00Z</dcterms:created>
  <dcterms:modified xsi:type="dcterms:W3CDTF">2017-09-15T16:54:00Z</dcterms:modified>
</cp:coreProperties>
</file>