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7690"/>
      </w:tblGrid>
      <w:tr w:rsidR="00FD0A9B" w14:paraId="625A7347" w14:textId="77777777">
        <w:trPr>
          <w:trHeight w:val="714"/>
        </w:trPr>
        <w:tc>
          <w:tcPr>
            <w:tcW w:w="2318" w:type="dxa"/>
            <w:vMerge w:val="restart"/>
          </w:tcPr>
          <w:p w14:paraId="4986C095" w14:textId="77777777" w:rsidR="00FD0A9B" w:rsidRDefault="00C43F84"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2D52332" wp14:editId="25B432E5">
                  <wp:extent cx="1329086" cy="98326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86" cy="98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0" w:type="dxa"/>
            <w:tcBorders>
              <w:bottom w:val="single" w:sz="6" w:space="0" w:color="000000"/>
            </w:tcBorders>
          </w:tcPr>
          <w:p w14:paraId="5196EEDE" w14:textId="77777777" w:rsidR="00FD0A9B" w:rsidRDefault="00C43F84">
            <w:pPr>
              <w:pStyle w:val="TableParagraph"/>
              <w:spacing w:before="2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County</w:t>
            </w:r>
          </w:p>
          <w:p w14:paraId="26569337" w14:textId="77777777" w:rsidR="00FD0A9B" w:rsidRDefault="00C43F84">
            <w:pPr>
              <w:pStyle w:val="TableParagraph"/>
              <w:tabs>
                <w:tab w:val="left" w:pos="7689"/>
              </w:tabs>
              <w:spacing w:before="2"/>
              <w:ind w:left="0"/>
              <w:rPr>
                <w:b/>
                <w:sz w:val="28"/>
              </w:rPr>
            </w:pPr>
            <w:r>
              <w:rPr>
                <w:b/>
                <w:spacing w:val="19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Community</w:t>
            </w:r>
            <w:r>
              <w:rPr>
                <w:b/>
                <w:spacing w:val="-6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Development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&amp;</w:t>
            </w:r>
            <w:r>
              <w:rPr>
                <w:b/>
                <w:spacing w:val="-6"/>
                <w:sz w:val="28"/>
                <w:u w:val="thick"/>
              </w:rPr>
              <w:t xml:space="preserve"> </w:t>
            </w:r>
            <w:r>
              <w:rPr>
                <w:b/>
                <w:spacing w:val="-2"/>
                <w:sz w:val="28"/>
                <w:u w:val="thick"/>
              </w:rPr>
              <w:t>Planning</w:t>
            </w:r>
            <w:r>
              <w:rPr>
                <w:b/>
                <w:sz w:val="28"/>
                <w:u w:val="thick"/>
              </w:rPr>
              <w:tab/>
            </w:r>
          </w:p>
        </w:tc>
      </w:tr>
      <w:tr w:rsidR="00FD0A9B" w14:paraId="577D55D3" w14:textId="77777777">
        <w:trPr>
          <w:trHeight w:val="868"/>
        </w:trPr>
        <w:tc>
          <w:tcPr>
            <w:tcW w:w="2318" w:type="dxa"/>
            <w:vMerge/>
            <w:tcBorders>
              <w:top w:val="nil"/>
            </w:tcBorders>
          </w:tcPr>
          <w:p w14:paraId="430563E1" w14:textId="77777777" w:rsidR="00FD0A9B" w:rsidRDefault="00FD0A9B">
            <w:pPr>
              <w:rPr>
                <w:sz w:val="2"/>
                <w:szCs w:val="2"/>
              </w:rPr>
            </w:pPr>
          </w:p>
        </w:tc>
        <w:tc>
          <w:tcPr>
            <w:tcW w:w="7690" w:type="dxa"/>
            <w:tcBorders>
              <w:top w:val="single" w:sz="6" w:space="0" w:color="000000"/>
            </w:tcBorders>
          </w:tcPr>
          <w:p w14:paraId="40D57698" w14:textId="77777777" w:rsidR="00FD0A9B" w:rsidRDefault="00C43F84">
            <w:pPr>
              <w:pStyle w:val="TableParagraph"/>
              <w:spacing w:before="3"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Rhone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Street,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P.O.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Box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947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Friday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Harbor,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98250</w:t>
            </w:r>
          </w:p>
          <w:p w14:paraId="58338679" w14:textId="77777777" w:rsidR="00FD0A9B" w:rsidRDefault="00C43F84">
            <w:pPr>
              <w:pStyle w:val="TableParagraph"/>
              <w:tabs>
                <w:tab w:val="left" w:pos="1886"/>
                <w:tab w:val="left" w:pos="3722"/>
              </w:tabs>
              <w:spacing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(360)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378-</w:t>
            </w:r>
            <w:r>
              <w:rPr>
                <w:b/>
                <w:spacing w:val="-4"/>
                <w:sz w:val="20"/>
              </w:rPr>
              <w:t>2354</w:t>
            </w:r>
            <w:r>
              <w:rPr>
                <w:b/>
                <w:sz w:val="20"/>
              </w:rPr>
              <w:tab/>
              <w:t>(360)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378-</w:t>
            </w:r>
            <w:r>
              <w:rPr>
                <w:b/>
                <w:spacing w:val="-4"/>
                <w:sz w:val="20"/>
              </w:rPr>
              <w:t>2116</w:t>
            </w:r>
            <w:r>
              <w:rPr>
                <w:b/>
                <w:sz w:val="20"/>
              </w:rPr>
              <w:tab/>
              <w:t>Fax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(360)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378-</w:t>
            </w:r>
            <w:r>
              <w:rPr>
                <w:b/>
                <w:spacing w:val="-4"/>
                <w:sz w:val="20"/>
              </w:rPr>
              <w:t>3922</w:t>
            </w:r>
          </w:p>
          <w:p w14:paraId="4BBAC751" w14:textId="77777777" w:rsidR="00FD0A9B" w:rsidRDefault="00C43F84">
            <w:pPr>
              <w:pStyle w:val="TableParagraph"/>
              <w:spacing w:before="1"/>
              <w:rPr>
                <w:b/>
                <w:sz w:val="20"/>
              </w:rPr>
            </w:pPr>
            <w:hyperlink r:id="rId5">
              <w:r>
                <w:rPr>
                  <w:b/>
                  <w:sz w:val="20"/>
                </w:rPr>
                <w:t>cdp@sanjuanco.com</w:t>
              </w:r>
            </w:hyperlink>
            <w:r>
              <w:rPr>
                <w:b/>
                <w:spacing w:val="71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|</w:t>
            </w:r>
            <w:r>
              <w:rPr>
                <w:b/>
                <w:spacing w:val="49"/>
                <w:sz w:val="20"/>
              </w:rPr>
              <w:t xml:space="preserve"> </w:t>
            </w:r>
            <w:hyperlink r:id="rId6">
              <w:r>
                <w:rPr>
                  <w:b/>
                  <w:spacing w:val="-2"/>
                  <w:sz w:val="20"/>
                </w:rPr>
                <w:t>www.sanjuanco.com</w:t>
              </w:r>
            </w:hyperlink>
          </w:p>
        </w:tc>
      </w:tr>
    </w:tbl>
    <w:p w14:paraId="7E5272F7" w14:textId="77777777" w:rsidR="00FD0A9B" w:rsidRDefault="00FD0A9B">
      <w:pPr>
        <w:pStyle w:val="BodyText"/>
        <w:rPr>
          <w:rFonts w:ascii="Times New Roman"/>
          <w:sz w:val="18"/>
        </w:rPr>
      </w:pPr>
    </w:p>
    <w:p w14:paraId="3C115C7A" w14:textId="77777777" w:rsidR="00FD0A9B" w:rsidRDefault="00C43F84">
      <w:pPr>
        <w:spacing w:before="91"/>
        <w:ind w:left="4693"/>
        <w:rPr>
          <w:rFonts w:ascii="Arial"/>
          <w:b/>
          <w:sz w:val="28"/>
        </w:rPr>
      </w:pPr>
      <w:r>
        <w:rPr>
          <w:rFonts w:ascii="Arial"/>
          <w:b/>
          <w:sz w:val="28"/>
        </w:rPr>
        <w:t>POLICY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pacing w:val="-2"/>
          <w:position w:val="1"/>
          <w:sz w:val="28"/>
        </w:rPr>
        <w:t>RESCINDED</w:t>
      </w:r>
    </w:p>
    <w:p w14:paraId="011579C8" w14:textId="77777777" w:rsidR="00FD0A9B" w:rsidRDefault="00C43F84">
      <w:pPr>
        <w:pStyle w:val="BodyText"/>
        <w:ind w:left="10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0D114D17" wp14:editId="6BC73349">
                <wp:extent cx="6373495" cy="861060"/>
                <wp:effectExtent l="9525" t="0" r="0" b="571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3495" cy="8610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075FBE" w14:textId="77777777" w:rsidR="00FD0A9B" w:rsidRDefault="00C43F84">
                            <w:pPr>
                              <w:spacing w:before="119"/>
                              <w:jc w:val="center"/>
                              <w:rPr>
                                <w:rFonts w:ascii="Trebuchet MS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32"/>
                              </w:rPr>
                              <w:t>Creation</w:t>
                            </w:r>
                            <w:r>
                              <w:rPr>
                                <w:rFonts w:ascii="Trebuchet MS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32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32"/>
                              </w:rPr>
                              <w:t>Dwelling</w:t>
                            </w:r>
                            <w:r>
                              <w:rPr>
                                <w:rFonts w:ascii="Trebuchet MS"/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sz w:val="32"/>
                              </w:rPr>
                              <w:t>Unit</w:t>
                            </w:r>
                          </w:p>
                          <w:p w14:paraId="39F0EF57" w14:textId="77777777" w:rsidR="00FD0A9B" w:rsidRDefault="00C43F84">
                            <w:pPr>
                              <w:tabs>
                                <w:tab w:val="left" w:pos="7735"/>
                              </w:tabs>
                              <w:spacing w:before="280" w:line="279" w:lineRule="exact"/>
                              <w:ind w:left="2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  <w:t>René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  <w:t>M.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  <w:sz w:val="24"/>
                              </w:rPr>
                              <w:t>Beliveau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  <w:tab/>
                              <w:t>Issued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  <w:sz w:val="24"/>
                              </w:rPr>
                              <w:t>07/24/2006</w:t>
                            </w:r>
                          </w:p>
                          <w:p w14:paraId="6B1AA4FC" w14:textId="77777777" w:rsidR="00FD0A9B" w:rsidRDefault="00C43F84">
                            <w:pPr>
                              <w:tabs>
                                <w:tab w:val="left" w:pos="7089"/>
                              </w:tabs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Deputy</w:t>
                            </w:r>
                            <w:r>
                              <w:rPr>
                                <w:rFonts w:ascii="Trebuchet MS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Director/Chief</w:t>
                            </w:r>
                            <w:r>
                              <w:rPr>
                                <w:rFonts w:ascii="Trebuchet MS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Building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24"/>
                              </w:rPr>
                              <w:t>Official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24"/>
                              </w:rPr>
                              <w:t>BP-2006-04_CreationDU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114D1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01.85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" filled="f" strokeweight=".48pt">
                <v:path arrowok="t"/>
                <v:textbox inset="0,0,0,0">
                  <w:txbxContent>
                    <w:p w14:paraId="54075FBE" w14:textId="77777777" w:rsidR="00FD0A9B" w:rsidRDefault="00C43F84">
                      <w:pPr>
                        <w:spacing w:before="119"/>
                        <w:jc w:val="center"/>
                        <w:rPr>
                          <w:rFonts w:ascii="Trebuchet MS"/>
                          <w:b/>
                          <w:sz w:val="32"/>
                        </w:rPr>
                      </w:pPr>
                      <w:r>
                        <w:rPr>
                          <w:rFonts w:ascii="Trebuchet MS"/>
                          <w:b/>
                          <w:sz w:val="32"/>
                        </w:rPr>
                        <w:t>Creation</w:t>
                      </w:r>
                      <w:r>
                        <w:rPr>
                          <w:rFonts w:ascii="Trebuchet MS"/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32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32"/>
                        </w:rPr>
                        <w:t>a</w:t>
                      </w:r>
                      <w:r>
                        <w:rPr>
                          <w:rFonts w:ascii="Trebuchet MS"/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32"/>
                        </w:rPr>
                        <w:t>Dwelling</w:t>
                      </w:r>
                      <w:r>
                        <w:rPr>
                          <w:rFonts w:ascii="Trebuchet MS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4"/>
                          <w:sz w:val="32"/>
                        </w:rPr>
                        <w:t>Unit</w:t>
                      </w:r>
                    </w:p>
                    <w:p w14:paraId="39F0EF57" w14:textId="77777777" w:rsidR="00FD0A9B" w:rsidRDefault="00C43F84">
                      <w:pPr>
                        <w:tabs>
                          <w:tab w:val="left" w:pos="7735"/>
                        </w:tabs>
                        <w:spacing w:before="280" w:line="279" w:lineRule="exact"/>
                        <w:ind w:left="2"/>
                        <w:jc w:val="center"/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René</w:t>
                      </w:r>
                      <w:r>
                        <w:rPr>
                          <w:rFonts w:ascii="Trebuchet MS" w:hAnsi="Trebuchet MS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M.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sz w:val="24"/>
                        </w:rPr>
                        <w:t>Beliveau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ab/>
                        <w:t>Issued</w:t>
                      </w:r>
                      <w:r>
                        <w:rPr>
                          <w:rFonts w:ascii="Trebuchet MS" w:hAnsi="Trebuchet MS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sz w:val="24"/>
                        </w:rPr>
                        <w:t>07/24/2006</w:t>
                      </w:r>
                    </w:p>
                    <w:p w14:paraId="6B1AA4FC" w14:textId="77777777" w:rsidR="00FD0A9B" w:rsidRDefault="00C43F84">
                      <w:pPr>
                        <w:tabs>
                          <w:tab w:val="left" w:pos="7089"/>
                        </w:tabs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Deputy</w:t>
                      </w:r>
                      <w:r>
                        <w:rPr>
                          <w:rFonts w:ascii="Trebuchet MS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Director/Chief</w:t>
                      </w:r>
                      <w:r>
                        <w:rPr>
                          <w:rFonts w:ascii="Trebuchet MS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Building</w:t>
                      </w:r>
                      <w:r>
                        <w:rPr>
                          <w:rFonts w:ascii="Trebuchet MS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2"/>
                          <w:sz w:val="24"/>
                        </w:rPr>
                        <w:t>Official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spacing w:val="-2"/>
                          <w:sz w:val="24"/>
                        </w:rPr>
                        <w:t>BP-2006-04_CreationDU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EDAFBF" w14:textId="77777777" w:rsidR="00FD0A9B" w:rsidRDefault="00FD0A9B">
      <w:pPr>
        <w:pStyle w:val="BodyText"/>
        <w:spacing w:before="8"/>
        <w:rPr>
          <w:rFonts w:ascii="Arial"/>
          <w:b/>
          <w:sz w:val="23"/>
        </w:rPr>
      </w:pPr>
    </w:p>
    <w:p w14:paraId="4C7BEDCE" w14:textId="77777777" w:rsidR="00FD0A9B" w:rsidRDefault="00C43F84">
      <w:pPr>
        <w:pStyle w:val="BodyText"/>
        <w:spacing w:before="57"/>
        <w:ind w:left="219" w:right="220"/>
      </w:pPr>
      <w:r>
        <w:rPr>
          <w:b/>
        </w:rPr>
        <w:t>ISSUE:</w:t>
      </w:r>
      <w:r>
        <w:rPr>
          <w:b/>
          <w:spacing w:val="40"/>
        </w:rPr>
        <w:t xml:space="preserve"> </w:t>
      </w:r>
      <w:r>
        <w:t>It is not uncommon for plans to be submitted that appear to contain more than one dwelling unit either within a single structure or within detached accessory structures. This has created issues of possible zoning/land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density</w:t>
      </w:r>
      <w:r>
        <w:rPr>
          <w:spacing w:val="-4"/>
        </w:rPr>
        <w:t xml:space="preserve"> </w:t>
      </w:r>
      <w:r>
        <w:t>violations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(such</w:t>
      </w:r>
      <w:r>
        <w:rPr>
          <w:spacing w:val="-6"/>
        </w:rPr>
        <w:t xml:space="preserve"> </w:t>
      </w:r>
      <w:r>
        <w:t>as,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 to, the One-Hour fire rated walls and ceilings between units, the prohibition of mixing air between units from forced or gravity heating and/or cooling systems, etc.).</w:t>
      </w:r>
    </w:p>
    <w:p w14:paraId="495EDEC0" w14:textId="77777777" w:rsidR="00FD0A9B" w:rsidRDefault="00FD0A9B">
      <w:pPr>
        <w:pStyle w:val="BodyText"/>
        <w:spacing w:before="10"/>
        <w:rPr>
          <w:sz w:val="21"/>
        </w:rPr>
      </w:pPr>
    </w:p>
    <w:p w14:paraId="579444EA" w14:textId="77777777" w:rsidR="00FD0A9B" w:rsidRDefault="00C43F84">
      <w:pPr>
        <w:pStyle w:val="BodyText"/>
        <w:spacing w:before="1"/>
        <w:ind w:left="219" w:right="220"/>
      </w:pPr>
      <w:r>
        <w:rPr>
          <w:b/>
        </w:rPr>
        <w:t>ANALYSIS:</w:t>
      </w:r>
      <w:r>
        <w:rPr>
          <w:b/>
          <w:spacing w:val="40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202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Residential</w:t>
      </w:r>
      <w:r>
        <w:rPr>
          <w:spacing w:val="-2"/>
        </w:rPr>
        <w:t xml:space="preserve"> </w:t>
      </w:r>
      <w:r>
        <w:t>Code,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310.2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Code, Article 100 of the National Electrical Code Section, and Section 18.20.040 of the SJCC all define a dwelling unit as meaning ". . . a single unit providing complete independent living facilities for one or more persons, including permanent provisions for living, sleeping, eating, cooking and sanitation.”</w:t>
      </w:r>
      <w:r>
        <w:rPr>
          <w:spacing w:val="40"/>
        </w:rPr>
        <w:t xml:space="preserve"> </w:t>
      </w:r>
      <w:r>
        <w:t xml:space="preserve">Section 18.20.040 of the SJCC also includes the following language: “A principal residence and an ADU that meets the </w:t>
      </w:r>
      <w:r>
        <w:t>requirements of Section 18.40.240 of this code constitute a single dwelling unit. Recreational vehicles are not dwelling units.”</w:t>
      </w:r>
    </w:p>
    <w:p w14:paraId="6E24A4B0" w14:textId="77777777" w:rsidR="00FD0A9B" w:rsidRDefault="00FD0A9B">
      <w:pPr>
        <w:pStyle w:val="BodyText"/>
      </w:pPr>
    </w:p>
    <w:p w14:paraId="0ECEF26B" w14:textId="77777777" w:rsidR="00FD0A9B" w:rsidRDefault="00C43F84">
      <w:pPr>
        <w:pStyle w:val="BodyText"/>
        <w:spacing w:before="1"/>
        <w:ind w:left="219" w:right="220"/>
      </w:pPr>
      <w:r>
        <w:t xml:space="preserve">From these definitions it is evident that, </w:t>
      </w:r>
      <w:proofErr w:type="gramStart"/>
      <w:r>
        <w:t>with the exception of</w:t>
      </w:r>
      <w:proofErr w:type="gramEnd"/>
      <w:r>
        <w:t xml:space="preserve"> approved “accessory dwelling units,” the elements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commonly</w:t>
      </w:r>
      <w:r>
        <w:rPr>
          <w:spacing w:val="-3"/>
        </w:rPr>
        <w:t xml:space="preserve"> </w:t>
      </w:r>
      <w:r>
        <w:t>define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dwelling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functionally</w:t>
      </w:r>
      <w:r>
        <w:rPr>
          <w:spacing w:val="-4"/>
        </w:rPr>
        <w:t xml:space="preserve"> </w:t>
      </w:r>
      <w:r>
        <w:t>interdependent</w:t>
      </w:r>
      <w:r>
        <w:rPr>
          <w:spacing w:val="-3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areas,</w:t>
      </w:r>
      <w:r>
        <w:rPr>
          <w:spacing w:val="-5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primary functions are to provide sleeping, sanitation, and food preparation kitchen facilities. In today's home it is common to have multiple living areas (</w:t>
      </w:r>
      <w:proofErr w:type="gramStart"/>
      <w:r>
        <w:t>i.e.</w:t>
      </w:r>
      <w:proofErr w:type="gramEnd"/>
      <w:r>
        <w:t xml:space="preserve"> family rooms, game rooms, TV/home theater room, </w:t>
      </w:r>
      <w:proofErr w:type="spellStart"/>
      <w:r>
        <w:t>etc</w:t>
      </w:r>
      <w:proofErr w:type="spellEnd"/>
      <w:r>
        <w:t>), eating areas (kitchen nook and dining room), bedrooms, and bathrooms all located within one or within several detached structures.</w:t>
      </w:r>
    </w:p>
    <w:p w14:paraId="3436BDBA" w14:textId="77777777" w:rsidR="00FD0A9B" w:rsidRDefault="00FD0A9B">
      <w:pPr>
        <w:pStyle w:val="BodyText"/>
        <w:spacing w:before="11"/>
        <w:rPr>
          <w:sz w:val="21"/>
        </w:rPr>
      </w:pPr>
    </w:p>
    <w:p w14:paraId="33194DA8" w14:textId="77777777" w:rsidR="00FD0A9B" w:rsidRDefault="00C43F84">
      <w:pPr>
        <w:pStyle w:val="BodyText"/>
        <w:ind w:left="219" w:right="220"/>
      </w:pPr>
      <w:r>
        <w:rPr>
          <w:b/>
        </w:rPr>
        <w:t>POLICY:</w:t>
      </w:r>
      <w:r>
        <w:rPr>
          <w:b/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dwelling</w:t>
      </w:r>
      <w:r>
        <w:rPr>
          <w:spacing w:val="-4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presumed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functionally</w:t>
      </w:r>
      <w:r>
        <w:rPr>
          <w:spacing w:val="-2"/>
        </w:rPr>
        <w:t xml:space="preserve"> </w:t>
      </w:r>
      <w:r>
        <w:t>interdependent</w:t>
      </w:r>
      <w:r>
        <w:rPr>
          <w:spacing w:val="-2"/>
        </w:rPr>
        <w:t xml:space="preserve"> </w:t>
      </w:r>
      <w:r>
        <w:t>areas whose primary function of sleeping, sanitation, and food preparation are provided.</w:t>
      </w:r>
    </w:p>
    <w:p w14:paraId="6CC4EBA3" w14:textId="77777777" w:rsidR="00FD0A9B" w:rsidRDefault="00FD0A9B">
      <w:pPr>
        <w:pStyle w:val="BodyText"/>
        <w:spacing w:before="2"/>
      </w:pPr>
    </w:p>
    <w:p w14:paraId="5990C29A" w14:textId="77777777" w:rsidR="00FD0A9B" w:rsidRDefault="00C43F84">
      <w:pPr>
        <w:pStyle w:val="BodyText"/>
        <w:spacing w:line="237" w:lineRule="auto"/>
        <w:ind w:left="219"/>
      </w:pPr>
      <w:r>
        <w:t>The</w:t>
      </w:r>
      <w:r>
        <w:rPr>
          <w:spacing w:val="-1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dwelling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 xml:space="preserve">been </w:t>
      </w:r>
      <w:r>
        <w:rPr>
          <w:spacing w:val="-2"/>
        </w:rPr>
        <w:t>created.</w:t>
      </w:r>
    </w:p>
    <w:p w14:paraId="2186677D" w14:textId="77777777" w:rsidR="00FD0A9B" w:rsidRDefault="00FD0A9B">
      <w:pPr>
        <w:pStyle w:val="BodyText"/>
        <w:spacing w:before="2"/>
      </w:pPr>
    </w:p>
    <w:p w14:paraId="3C3CDC36" w14:textId="77777777" w:rsidR="00FD0A9B" w:rsidRDefault="00C43F84">
      <w:pPr>
        <w:pStyle w:val="BodyText"/>
        <w:ind w:left="219" w:right="220"/>
      </w:pPr>
      <w:r>
        <w:t>This policy shall supersede all other previous policies relative to this issue, shall take effect on July 24, 2006, and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permit</w:t>
      </w:r>
      <w:r>
        <w:rPr>
          <w:spacing w:val="-1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submittals</w:t>
      </w:r>
      <w:r>
        <w:rPr>
          <w:spacing w:val="-2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revisions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permits and/or approved permits) submitted on or after this date.</w:t>
      </w:r>
    </w:p>
    <w:p w14:paraId="05D8C722" w14:textId="77777777" w:rsidR="00FD0A9B" w:rsidRDefault="00FD0A9B">
      <w:pPr>
        <w:pStyle w:val="BodyText"/>
      </w:pPr>
    </w:p>
    <w:p w14:paraId="685C09B6" w14:textId="77777777" w:rsidR="00FD0A9B" w:rsidRDefault="00C43F84">
      <w:pPr>
        <w:pStyle w:val="BodyText"/>
        <w:ind w:left="219"/>
      </w:pPr>
      <w:r>
        <w:t>Where</w:t>
      </w:r>
      <w:r>
        <w:rPr>
          <w:spacing w:val="-4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exist,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Deputy</w:t>
      </w:r>
      <w:r>
        <w:rPr>
          <w:spacing w:val="-3"/>
        </w:rPr>
        <w:t xml:space="preserve"> </w:t>
      </w:r>
      <w:r>
        <w:t>Director/Chief</w:t>
      </w:r>
      <w:r>
        <w:rPr>
          <w:spacing w:val="-4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to approve modifications to this policy.</w:t>
      </w:r>
    </w:p>
    <w:p w14:paraId="2DED8B52" w14:textId="77777777" w:rsidR="00FD0A9B" w:rsidRDefault="00FD0A9B">
      <w:pPr>
        <w:pStyle w:val="BodyText"/>
        <w:rPr>
          <w:sz w:val="20"/>
        </w:rPr>
      </w:pPr>
    </w:p>
    <w:p w14:paraId="0D069A77" w14:textId="77777777" w:rsidR="00FD0A9B" w:rsidRDefault="00FD0A9B">
      <w:pPr>
        <w:pStyle w:val="BodyText"/>
        <w:rPr>
          <w:sz w:val="20"/>
        </w:rPr>
      </w:pPr>
    </w:p>
    <w:p w14:paraId="51607A42" w14:textId="77777777" w:rsidR="00FD0A9B" w:rsidRDefault="00FD0A9B">
      <w:pPr>
        <w:pStyle w:val="BodyText"/>
        <w:rPr>
          <w:sz w:val="20"/>
        </w:rPr>
      </w:pPr>
    </w:p>
    <w:p w14:paraId="7D3F0433" w14:textId="77777777" w:rsidR="00FD0A9B" w:rsidRDefault="00FD0A9B">
      <w:pPr>
        <w:pStyle w:val="BodyText"/>
        <w:rPr>
          <w:sz w:val="20"/>
        </w:rPr>
      </w:pPr>
    </w:p>
    <w:p w14:paraId="75910AA4" w14:textId="77777777" w:rsidR="00FD0A9B" w:rsidRDefault="00FD0A9B">
      <w:pPr>
        <w:pStyle w:val="BodyText"/>
        <w:spacing w:before="8"/>
        <w:rPr>
          <w:sz w:val="26"/>
        </w:rPr>
      </w:pPr>
    </w:p>
    <w:p w14:paraId="585227FE" w14:textId="77777777" w:rsidR="00FD0A9B" w:rsidRDefault="00C43F84">
      <w:pPr>
        <w:tabs>
          <w:tab w:val="left" w:pos="9493"/>
        </w:tabs>
        <w:spacing w:before="69"/>
        <w:ind w:left="220"/>
        <w:rPr>
          <w:sz w:val="16"/>
        </w:rPr>
      </w:pPr>
      <w:r>
        <w:rPr>
          <w:sz w:val="16"/>
        </w:rPr>
        <w:t>N:\POLICIES</w:t>
      </w:r>
      <w:r>
        <w:rPr>
          <w:spacing w:val="-12"/>
          <w:sz w:val="16"/>
        </w:rPr>
        <w:t xml:space="preserve"> </w:t>
      </w:r>
      <w:r>
        <w:rPr>
          <w:sz w:val="16"/>
        </w:rPr>
        <w:t>&amp;</w:t>
      </w:r>
      <w:r>
        <w:rPr>
          <w:spacing w:val="-7"/>
          <w:sz w:val="16"/>
        </w:rPr>
        <w:t xml:space="preserve"> </w:t>
      </w:r>
      <w:r>
        <w:rPr>
          <w:sz w:val="16"/>
        </w:rPr>
        <w:t>INTERPRETATIONS</w:t>
      </w:r>
      <w:r>
        <w:rPr>
          <w:spacing w:val="-9"/>
          <w:sz w:val="16"/>
        </w:rPr>
        <w:t xml:space="preserve"> </w:t>
      </w:r>
      <w:r>
        <w:rPr>
          <w:sz w:val="16"/>
        </w:rPr>
        <w:t>&amp;</w:t>
      </w:r>
      <w:r>
        <w:rPr>
          <w:spacing w:val="-8"/>
          <w:sz w:val="16"/>
        </w:rPr>
        <w:t xml:space="preserve"> </w:t>
      </w:r>
      <w:r>
        <w:rPr>
          <w:sz w:val="16"/>
        </w:rPr>
        <w:t>Revised</w:t>
      </w:r>
      <w:r>
        <w:rPr>
          <w:spacing w:val="-8"/>
          <w:sz w:val="16"/>
        </w:rPr>
        <w:t xml:space="preserve"> </w:t>
      </w:r>
      <w:r>
        <w:rPr>
          <w:sz w:val="16"/>
        </w:rPr>
        <w:t>RCW's\BP-2006-04_CreationDU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Rescinded.doc</w:t>
      </w:r>
      <w:r>
        <w:rPr>
          <w:sz w:val="16"/>
        </w:rPr>
        <w:tab/>
        <w:t>Page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FD0A9B">
      <w:type w:val="continuous"/>
      <w:pgSz w:w="12240" w:h="15840"/>
      <w:pgMar w:top="1000" w:right="10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9B"/>
    <w:rsid w:val="00756ED1"/>
    <w:rsid w:val="00C43F84"/>
    <w:rsid w:val="00F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648D"/>
  <w15:docId w15:val="{FAFD9A4C-62BB-4F1E-A7C8-3715AD10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9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5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juanco.com/" TargetMode="External"/><Relationship Id="rId5" Type="http://schemas.openxmlformats.org/officeDocument/2006/relationships/hyperlink" Target="mailto:cdp@sanjuanc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2431</Characters>
  <Application>Microsoft Office Word</Application>
  <DocSecurity>0</DocSecurity>
  <Lines>20</Lines>
  <Paragraphs>5</Paragraphs>
  <ScaleCrop>false</ScaleCrop>
  <Company>San Juan County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ReneB</dc:creator>
  <dc:description/>
  <cp:lastModifiedBy>Erika Dickey</cp:lastModifiedBy>
  <cp:revision>2</cp:revision>
  <dcterms:created xsi:type="dcterms:W3CDTF">2023-11-30T17:44:00Z</dcterms:created>
  <dcterms:modified xsi:type="dcterms:W3CDTF">2023-11-30T17:44:00Z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2023-11-30T00:00:00Z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D:20110513232020</vt:lpwstr>
  </property>
</Properties>
</file>