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3F9C" w14:textId="77777777" w:rsidR="003108FC" w:rsidRDefault="003108FC" w:rsidP="003108FC">
      <w:pPr>
        <w:pStyle w:val="Header"/>
      </w:pPr>
    </w:p>
    <w:tbl>
      <w:tblPr>
        <w:tblW w:w="10065" w:type="dxa"/>
        <w:tblLook w:val="00BF" w:firstRow="1" w:lastRow="0" w:firstColumn="1" w:lastColumn="0" w:noHBand="0" w:noVBand="0"/>
      </w:tblPr>
      <w:tblGrid>
        <w:gridCol w:w="2376"/>
        <w:gridCol w:w="7689"/>
      </w:tblGrid>
      <w:tr w:rsidR="003108FC" w:rsidRPr="00BF3EAA" w14:paraId="37323D0A" w14:textId="77777777" w:rsidTr="000F2A69">
        <w:trPr>
          <w:trHeight w:val="477"/>
        </w:trPr>
        <w:tc>
          <w:tcPr>
            <w:tcW w:w="2376" w:type="dxa"/>
            <w:vMerge w:val="restart"/>
            <w:shd w:val="clear" w:color="auto" w:fill="auto"/>
            <w:vAlign w:val="center"/>
          </w:tcPr>
          <w:p w14:paraId="3D781FAF" w14:textId="71ABFD8E" w:rsidR="003108FC" w:rsidRPr="00BF3EAA" w:rsidRDefault="003108FC" w:rsidP="000F2A69">
            <w:pPr>
              <w:rPr>
                <w:sz w:val="18"/>
                <w:szCs w:val="18"/>
              </w:rPr>
            </w:pPr>
            <w:r w:rsidRPr="00BF3EAA">
              <w:rPr>
                <w:noProof/>
                <w:sz w:val="24"/>
                <w:szCs w:val="24"/>
              </w:rPr>
              <w:drawing>
                <wp:inline distT="0" distB="0" distL="0" distR="0" wp14:anchorId="08D7575D" wp14:editId="4833435C">
                  <wp:extent cx="1371600" cy="1019175"/>
                  <wp:effectExtent l="0" t="0" r="0" b="9525"/>
                  <wp:docPr id="427308888"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08888" name="Picture 1" descr="A picture containing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19175"/>
                          </a:xfrm>
                          <a:prstGeom prst="rect">
                            <a:avLst/>
                          </a:prstGeom>
                          <a:noFill/>
                          <a:ln>
                            <a:noFill/>
                          </a:ln>
                        </pic:spPr>
                      </pic:pic>
                    </a:graphicData>
                  </a:graphic>
                </wp:inline>
              </w:drawing>
            </w:r>
          </w:p>
        </w:tc>
        <w:tc>
          <w:tcPr>
            <w:tcW w:w="7689" w:type="dxa"/>
            <w:shd w:val="clear" w:color="auto" w:fill="auto"/>
          </w:tcPr>
          <w:p w14:paraId="44645883" w14:textId="77777777" w:rsidR="003108FC" w:rsidRPr="00BF3EAA" w:rsidRDefault="003108FC" w:rsidP="000F2A69">
            <w:pPr>
              <w:rPr>
                <w:rFonts w:ascii="Tahoma" w:hAnsi="Tahoma"/>
                <w:b/>
                <w:sz w:val="24"/>
              </w:rPr>
            </w:pPr>
            <w:r w:rsidRPr="00BF3EAA">
              <w:rPr>
                <w:b/>
                <w:sz w:val="8"/>
              </w:rPr>
              <w:br/>
            </w:r>
            <w:smartTag w:uri="urn:schemas-microsoft-com:office:smarttags" w:element="place">
              <w:smartTag w:uri="urn:schemas-microsoft-com:office:smarttags" w:element="PlaceName">
                <w:r w:rsidRPr="00BF3EAA">
                  <w:rPr>
                    <w:rFonts w:ascii="Tahoma" w:hAnsi="Tahoma"/>
                    <w:b/>
                    <w:sz w:val="24"/>
                  </w:rPr>
                  <w:t>San Juan</w:t>
                </w:r>
              </w:smartTag>
              <w:r w:rsidRPr="00BF3EAA">
                <w:rPr>
                  <w:rFonts w:ascii="Tahoma" w:hAnsi="Tahoma"/>
                  <w:b/>
                  <w:sz w:val="24"/>
                </w:rPr>
                <w:t xml:space="preserve"> </w:t>
              </w:r>
              <w:smartTag w:uri="urn:schemas-microsoft-com:office:smarttags" w:element="PlaceType">
                <w:r w:rsidRPr="00BF3EAA">
                  <w:rPr>
                    <w:rFonts w:ascii="Tahoma" w:hAnsi="Tahoma"/>
                    <w:b/>
                    <w:sz w:val="24"/>
                  </w:rPr>
                  <w:t>County</w:t>
                </w:r>
              </w:smartTag>
            </w:smartTag>
          </w:p>
          <w:p w14:paraId="58A46E8F" w14:textId="77777777" w:rsidR="003108FC" w:rsidRPr="00BF3EAA" w:rsidRDefault="003108FC" w:rsidP="000F2A69">
            <w:pPr>
              <w:rPr>
                <w:rFonts w:ascii="Tahoma" w:hAnsi="Tahoma"/>
                <w:b/>
                <w:sz w:val="28"/>
                <w:szCs w:val="52"/>
              </w:rPr>
            </w:pPr>
            <w:r w:rsidRPr="00BF3EAA">
              <w:rPr>
                <w:rFonts w:ascii="Tahoma" w:hAnsi="Tahoma"/>
                <w:b/>
                <w:sz w:val="28"/>
              </w:rPr>
              <w:t xml:space="preserve">Community Development &amp; Planning </w:t>
            </w:r>
          </w:p>
        </w:tc>
      </w:tr>
      <w:tr w:rsidR="003108FC" w:rsidRPr="00BF3EAA" w14:paraId="26CF3B62" w14:textId="77777777" w:rsidTr="000F2A69">
        <w:trPr>
          <w:trHeight w:val="762"/>
        </w:trPr>
        <w:tc>
          <w:tcPr>
            <w:tcW w:w="2376" w:type="dxa"/>
            <w:vMerge/>
            <w:shd w:val="clear" w:color="auto" w:fill="auto"/>
          </w:tcPr>
          <w:p w14:paraId="1D5C815A" w14:textId="77777777" w:rsidR="003108FC" w:rsidRPr="00BF3EAA" w:rsidRDefault="003108FC" w:rsidP="000F2A69">
            <w:pPr>
              <w:rPr>
                <w:sz w:val="18"/>
                <w:szCs w:val="18"/>
              </w:rPr>
            </w:pPr>
          </w:p>
        </w:tc>
        <w:tc>
          <w:tcPr>
            <w:tcW w:w="7689" w:type="dxa"/>
            <w:tcBorders>
              <w:top w:val="thinThickSmallGap" w:sz="18" w:space="0" w:color="auto"/>
            </w:tcBorders>
            <w:shd w:val="clear" w:color="auto" w:fill="auto"/>
          </w:tcPr>
          <w:p w14:paraId="00DB0F93" w14:textId="77777777" w:rsidR="003108FC" w:rsidRPr="00BF3EAA" w:rsidRDefault="003108FC" w:rsidP="000F2A69">
            <w:pPr>
              <w:ind w:left="-54"/>
              <w:rPr>
                <w:rFonts w:ascii="Tahoma" w:hAnsi="Tahoma"/>
                <w:b/>
              </w:rPr>
            </w:pPr>
            <w:smartTag w:uri="urn:schemas-microsoft-com:office:smarttags" w:element="address">
              <w:smartTag w:uri="urn:schemas-microsoft-com:office:smarttags" w:element="Street">
                <w:r w:rsidRPr="00BF3EAA">
                  <w:rPr>
                    <w:rFonts w:ascii="Tahoma" w:hAnsi="Tahoma"/>
                    <w:b/>
                  </w:rPr>
                  <w:t xml:space="preserve">135 Rhone </w:t>
                </w:r>
                <w:proofErr w:type="gramStart"/>
                <w:r w:rsidRPr="00BF3EAA">
                  <w:rPr>
                    <w:rFonts w:ascii="Tahoma" w:hAnsi="Tahoma"/>
                    <w:b/>
                  </w:rPr>
                  <w:t>Street,  P.O.</w:t>
                </w:r>
                <w:proofErr w:type="gramEnd"/>
                <w:r w:rsidRPr="00BF3EAA">
                  <w:rPr>
                    <w:rFonts w:ascii="Tahoma" w:hAnsi="Tahoma"/>
                    <w:b/>
                  </w:rPr>
                  <w:t xml:space="preserve"> Box 947</w:t>
                </w:r>
              </w:smartTag>
              <w:r w:rsidRPr="00BF3EAA">
                <w:rPr>
                  <w:rFonts w:ascii="Tahoma" w:hAnsi="Tahoma"/>
                  <w:b/>
                </w:rPr>
                <w:t xml:space="preserve">  </w:t>
              </w:r>
              <w:smartTag w:uri="urn:schemas-microsoft-com:office:smarttags" w:element="City">
                <w:r w:rsidRPr="00BF3EAA">
                  <w:rPr>
                    <w:rFonts w:ascii="Tahoma" w:hAnsi="Tahoma"/>
                    <w:b/>
                  </w:rPr>
                  <w:t>Friday Harbor</w:t>
                </w:r>
              </w:smartTag>
              <w:r w:rsidRPr="00BF3EAA">
                <w:rPr>
                  <w:rFonts w:ascii="Tahoma" w:hAnsi="Tahoma"/>
                  <w:b/>
                </w:rPr>
                <w:t xml:space="preserve">, </w:t>
              </w:r>
              <w:smartTag w:uri="urn:schemas-microsoft-com:office:smarttags" w:element="State">
                <w:r w:rsidRPr="00BF3EAA">
                  <w:rPr>
                    <w:rFonts w:ascii="Tahoma" w:hAnsi="Tahoma"/>
                    <w:b/>
                  </w:rPr>
                  <w:t>WA</w:t>
                </w:r>
              </w:smartTag>
            </w:smartTag>
            <w:r w:rsidRPr="00BF3EAA">
              <w:rPr>
                <w:rFonts w:ascii="Tahoma" w:hAnsi="Tahoma"/>
                <w:b/>
              </w:rPr>
              <w:t>. 98250</w:t>
            </w:r>
          </w:p>
          <w:p w14:paraId="6EF11E84" w14:textId="77777777" w:rsidR="003108FC" w:rsidRPr="00BF3EAA" w:rsidRDefault="003108FC" w:rsidP="000F2A69">
            <w:pPr>
              <w:ind w:left="-54"/>
              <w:rPr>
                <w:rFonts w:ascii="Tahoma" w:hAnsi="Tahoma"/>
                <w:b/>
              </w:rPr>
            </w:pPr>
            <w:r w:rsidRPr="00BF3EAA">
              <w:rPr>
                <w:rFonts w:ascii="Tahoma" w:hAnsi="Tahoma"/>
                <w:b/>
              </w:rPr>
              <w:t xml:space="preserve">(360) 378-2354 </w:t>
            </w:r>
            <w:proofErr w:type="gramStart"/>
            <w:r w:rsidRPr="00BF3EAA">
              <w:rPr>
                <w:rFonts w:ascii="Tahoma" w:hAnsi="Tahoma"/>
                <w:b/>
              </w:rPr>
              <w:t xml:space="preserve">   (</w:t>
            </w:r>
            <w:proofErr w:type="gramEnd"/>
            <w:r w:rsidRPr="00BF3EAA">
              <w:rPr>
                <w:rFonts w:ascii="Tahoma" w:hAnsi="Tahoma"/>
                <w:b/>
              </w:rPr>
              <w:t>360) 378-2116    Fax (360) 378-3922</w:t>
            </w:r>
          </w:p>
          <w:p w14:paraId="332C9CED" w14:textId="77777777" w:rsidR="003108FC" w:rsidRPr="00BF3EAA" w:rsidRDefault="003108FC" w:rsidP="000F2A69">
            <w:pPr>
              <w:ind w:left="-54"/>
              <w:rPr>
                <w:rFonts w:ascii="Tahoma" w:hAnsi="Tahoma"/>
                <w:b/>
              </w:rPr>
            </w:pPr>
            <w:r w:rsidRPr="00BF3EAA">
              <w:rPr>
                <w:rFonts w:ascii="Tahoma" w:hAnsi="Tahoma"/>
                <w:b/>
              </w:rPr>
              <w:t xml:space="preserve">cdp@sanjuanco.com   </w:t>
            </w:r>
            <w:proofErr w:type="gramStart"/>
            <w:r w:rsidRPr="00BF3EAA">
              <w:rPr>
                <w:rFonts w:ascii="Tahoma" w:hAnsi="Tahoma"/>
                <w:b/>
              </w:rPr>
              <w:t xml:space="preserve">|  </w:t>
            </w:r>
            <w:r w:rsidRPr="00BF3EAA">
              <w:rPr>
                <w:rFonts w:ascii="Tahoma" w:hAnsi="Tahoma"/>
                <w:b/>
                <w:szCs w:val="22"/>
              </w:rPr>
              <w:t>www.sanjuanco.com</w:t>
            </w:r>
            <w:proofErr w:type="gramEnd"/>
            <w:r w:rsidRPr="00BF3EAA">
              <w:rPr>
                <w:rFonts w:ascii="Tahoma" w:hAnsi="Tahoma"/>
                <w:b/>
              </w:rPr>
              <w:t xml:space="preserve">   </w:t>
            </w:r>
          </w:p>
          <w:p w14:paraId="518CEF90" w14:textId="77777777" w:rsidR="003108FC" w:rsidRPr="00BF3EAA" w:rsidRDefault="003108FC" w:rsidP="000F2A69">
            <w:pPr>
              <w:rPr>
                <w:sz w:val="18"/>
                <w:szCs w:val="18"/>
              </w:rPr>
            </w:pPr>
          </w:p>
        </w:tc>
      </w:tr>
    </w:tbl>
    <w:p w14:paraId="33E95F42" w14:textId="516E4AFC" w:rsidR="003108FC" w:rsidRPr="00695180" w:rsidRDefault="00695180" w:rsidP="003108FC">
      <w:pPr>
        <w:autoSpaceDE w:val="0"/>
        <w:autoSpaceDN w:val="0"/>
        <w:adjustRightInd w:val="0"/>
        <w:jc w:val="center"/>
        <w:rPr>
          <w:rFonts w:ascii="Arial" w:hAnsi="Arial" w:cs="TimesNewRoman,Bold"/>
          <w:b/>
          <w:bCs/>
          <w:sz w:val="28"/>
          <w:szCs w:val="28"/>
        </w:rPr>
      </w:pPr>
      <w:r>
        <w:rPr>
          <w:rFonts w:ascii="Arial" w:hAnsi="Arial" w:cs="TimesNewRoman,Bold"/>
          <w:b/>
          <w:bCs/>
          <w:sz w:val="28"/>
          <w:szCs w:val="28"/>
        </w:rPr>
        <w:t>*RESCINDED SEPTEMBER 2023 – REFERENCES TO CODE ARE OUTDATED*</w:t>
      </w:r>
    </w:p>
    <w:p w14:paraId="3C99F49D" w14:textId="77777777" w:rsidR="003108FC" w:rsidRDefault="003108FC" w:rsidP="003108FC">
      <w:pPr>
        <w:autoSpaceDE w:val="0"/>
        <w:autoSpaceDN w:val="0"/>
        <w:adjustRightInd w:val="0"/>
        <w:jc w:val="center"/>
        <w:rPr>
          <w:rFonts w:ascii="Arial" w:hAnsi="Arial" w:cs="TimesNewRoman,Bold"/>
          <w:b/>
          <w:bCs/>
          <w:sz w:val="24"/>
          <w:szCs w:val="24"/>
        </w:rPr>
      </w:pPr>
    </w:p>
    <w:p w14:paraId="1BA045FA" w14:textId="1AF8246C" w:rsidR="003108FC" w:rsidRPr="00175451" w:rsidRDefault="003108FC" w:rsidP="003108FC">
      <w:pPr>
        <w:autoSpaceDE w:val="0"/>
        <w:autoSpaceDN w:val="0"/>
        <w:adjustRightInd w:val="0"/>
        <w:jc w:val="center"/>
        <w:rPr>
          <w:rFonts w:ascii="Arial" w:hAnsi="Arial" w:cs="TimesNewRoman,Bold"/>
          <w:b/>
          <w:bCs/>
          <w:sz w:val="24"/>
          <w:szCs w:val="24"/>
        </w:rPr>
      </w:pPr>
      <w:r w:rsidRPr="00175451">
        <w:rPr>
          <w:rFonts w:ascii="Arial" w:hAnsi="Arial" w:cs="TimesNewRoman,Bold"/>
          <w:b/>
          <w:bCs/>
          <w:sz w:val="24"/>
          <w:szCs w:val="24"/>
        </w:rPr>
        <w:t>POLICIES AND PROCEDURES</w:t>
      </w:r>
    </w:p>
    <w:p w14:paraId="6EA95452" w14:textId="77777777" w:rsidR="003108FC" w:rsidRPr="00175451" w:rsidRDefault="003108FC" w:rsidP="003108FC">
      <w:pPr>
        <w:pBdr>
          <w:top w:val="single" w:sz="4" w:space="6" w:color="auto"/>
          <w:left w:val="single" w:sz="4" w:space="4" w:color="auto"/>
          <w:bottom w:val="single" w:sz="4" w:space="1" w:color="auto"/>
          <w:right w:val="single" w:sz="4" w:space="4" w:color="auto"/>
        </w:pBdr>
        <w:autoSpaceDE w:val="0"/>
        <w:autoSpaceDN w:val="0"/>
        <w:adjustRightInd w:val="0"/>
        <w:ind w:right="540"/>
        <w:jc w:val="center"/>
        <w:rPr>
          <w:rFonts w:ascii="Trebuchet MS" w:hAnsi="Trebuchet MS" w:cs="TimesNewRoman,Bold"/>
          <w:b/>
          <w:bCs/>
          <w:sz w:val="32"/>
          <w:szCs w:val="32"/>
        </w:rPr>
      </w:pPr>
      <w:r w:rsidRPr="00175451">
        <w:rPr>
          <w:rFonts w:ascii="Trebuchet MS" w:hAnsi="Trebuchet MS" w:cs="TimesNewRoman,Bold"/>
          <w:b/>
          <w:bCs/>
          <w:sz w:val="32"/>
          <w:szCs w:val="32"/>
        </w:rPr>
        <w:t>Floor Area Determination for Accessory Structures</w:t>
      </w:r>
    </w:p>
    <w:p w14:paraId="7114B915" w14:textId="77777777" w:rsidR="003108FC" w:rsidRDefault="003108FC" w:rsidP="003108FC">
      <w:pPr>
        <w:pBdr>
          <w:top w:val="single" w:sz="4" w:space="6" w:color="auto"/>
          <w:left w:val="single" w:sz="4" w:space="4" w:color="auto"/>
          <w:bottom w:val="single" w:sz="4" w:space="1" w:color="auto"/>
          <w:right w:val="single" w:sz="4" w:space="4" w:color="auto"/>
        </w:pBdr>
        <w:tabs>
          <w:tab w:val="right" w:pos="9810"/>
        </w:tabs>
        <w:autoSpaceDE w:val="0"/>
        <w:autoSpaceDN w:val="0"/>
        <w:adjustRightInd w:val="0"/>
        <w:ind w:right="540"/>
        <w:rPr>
          <w:rFonts w:ascii="Trebuchet MS" w:hAnsi="Trebuchet MS" w:cs="TimesNewRoman,Bold"/>
          <w:b/>
          <w:bCs/>
          <w:sz w:val="24"/>
          <w:szCs w:val="24"/>
        </w:rPr>
      </w:pPr>
      <w:r>
        <w:rPr>
          <w:rFonts w:ascii="Trebuchet MS" w:hAnsi="Trebuchet MS" w:cs="TimesNewRoman,Bold"/>
          <w:b/>
          <w:bCs/>
          <w:sz w:val="24"/>
          <w:szCs w:val="24"/>
        </w:rPr>
        <w:tab/>
      </w:r>
      <w:r w:rsidRPr="00175451">
        <w:rPr>
          <w:rFonts w:ascii="Trebuchet MS" w:hAnsi="Trebuchet MS" w:cs="TimesNewRoman,Bold"/>
          <w:b/>
          <w:bCs/>
          <w:sz w:val="24"/>
          <w:szCs w:val="24"/>
        </w:rPr>
        <w:t>Issued 9/21/2006</w:t>
      </w:r>
    </w:p>
    <w:p w14:paraId="430D5F07" w14:textId="77777777" w:rsidR="003108FC" w:rsidRPr="00175451" w:rsidRDefault="003108FC" w:rsidP="003108FC">
      <w:pPr>
        <w:pBdr>
          <w:top w:val="single" w:sz="4" w:space="6" w:color="auto"/>
          <w:left w:val="single" w:sz="4" w:space="4" w:color="auto"/>
          <w:bottom w:val="single" w:sz="4" w:space="1" w:color="auto"/>
          <w:right w:val="single" w:sz="4" w:space="4" w:color="auto"/>
        </w:pBdr>
        <w:tabs>
          <w:tab w:val="right" w:pos="9810"/>
        </w:tabs>
        <w:autoSpaceDE w:val="0"/>
        <w:autoSpaceDN w:val="0"/>
        <w:adjustRightInd w:val="0"/>
        <w:ind w:right="540"/>
        <w:rPr>
          <w:rFonts w:ascii="Trebuchet MS" w:hAnsi="Trebuchet MS" w:cs="TimesNewRoman,Bold"/>
          <w:b/>
          <w:bCs/>
          <w:sz w:val="24"/>
          <w:szCs w:val="24"/>
        </w:rPr>
      </w:pPr>
      <w:r w:rsidRPr="00175451">
        <w:rPr>
          <w:rFonts w:ascii="Trebuchet MS" w:hAnsi="Trebuchet MS" w:cs="TimesNewRoman,Bold"/>
          <w:b/>
          <w:bCs/>
          <w:sz w:val="24"/>
          <w:szCs w:val="24"/>
        </w:rPr>
        <w:t xml:space="preserve">René M. Beliveau </w:t>
      </w:r>
      <w:r>
        <w:rPr>
          <w:rFonts w:ascii="Trebuchet MS" w:hAnsi="Trebuchet MS" w:cs="TimesNewRoman,Bold"/>
          <w:b/>
          <w:bCs/>
          <w:sz w:val="24"/>
          <w:szCs w:val="24"/>
        </w:rPr>
        <w:tab/>
      </w:r>
      <w:r w:rsidRPr="00175451">
        <w:rPr>
          <w:rFonts w:ascii="Trebuchet MS" w:hAnsi="Trebuchet MS" w:cs="TimesNewRoman,Bold"/>
          <w:b/>
          <w:bCs/>
          <w:sz w:val="24"/>
          <w:szCs w:val="24"/>
        </w:rPr>
        <w:t>Revised 7/24/2007</w:t>
      </w:r>
      <w:r w:rsidRPr="00175451">
        <w:rPr>
          <w:rFonts w:ascii="Trebuchet MS" w:hAnsi="Trebuchet MS" w:cs="TimesNewRoman,Bold"/>
          <w:b/>
          <w:bCs/>
          <w:sz w:val="24"/>
          <w:szCs w:val="24"/>
        </w:rPr>
        <w:tab/>
        <w:t xml:space="preserve">         </w:t>
      </w:r>
    </w:p>
    <w:p w14:paraId="730367E1" w14:textId="77777777" w:rsidR="003108FC" w:rsidRPr="00175451" w:rsidRDefault="003108FC" w:rsidP="003108FC">
      <w:pPr>
        <w:pBdr>
          <w:top w:val="single" w:sz="4" w:space="6" w:color="auto"/>
          <w:left w:val="single" w:sz="4" w:space="4" w:color="auto"/>
          <w:bottom w:val="single" w:sz="4" w:space="1" w:color="auto"/>
          <w:right w:val="single" w:sz="4" w:space="4" w:color="auto"/>
        </w:pBdr>
        <w:tabs>
          <w:tab w:val="right" w:pos="9810"/>
        </w:tabs>
        <w:autoSpaceDE w:val="0"/>
        <w:autoSpaceDN w:val="0"/>
        <w:adjustRightInd w:val="0"/>
        <w:ind w:right="540"/>
        <w:rPr>
          <w:rFonts w:ascii="Trebuchet MS" w:hAnsi="Trebuchet MS" w:cs="TimesNewRoman,Bold"/>
          <w:b/>
          <w:bCs/>
          <w:sz w:val="24"/>
          <w:szCs w:val="24"/>
        </w:rPr>
      </w:pPr>
      <w:r w:rsidRPr="00175451">
        <w:rPr>
          <w:rFonts w:ascii="Trebuchet MS" w:hAnsi="Trebuchet MS" w:cs="TimesNewRoman,Bold"/>
          <w:b/>
          <w:bCs/>
          <w:sz w:val="24"/>
          <w:szCs w:val="24"/>
        </w:rPr>
        <w:t>Deputy D</w:t>
      </w:r>
      <w:r>
        <w:rPr>
          <w:rFonts w:ascii="Trebuchet MS" w:hAnsi="Trebuchet MS" w:cs="TimesNewRoman,Bold"/>
          <w:b/>
          <w:bCs/>
          <w:sz w:val="24"/>
          <w:szCs w:val="24"/>
        </w:rPr>
        <w:t>irector/Chief Building Official</w:t>
      </w:r>
      <w:r>
        <w:rPr>
          <w:rFonts w:ascii="Trebuchet MS" w:hAnsi="Trebuchet MS" w:cs="TimesNewRoman,Bold"/>
          <w:b/>
          <w:bCs/>
          <w:sz w:val="24"/>
          <w:szCs w:val="24"/>
        </w:rPr>
        <w:tab/>
        <w:t>BP-2007-10_FloorArea-Acc</w:t>
      </w:r>
      <w:r w:rsidRPr="00175451">
        <w:rPr>
          <w:rFonts w:ascii="Trebuchet MS" w:hAnsi="Trebuchet MS" w:cs="TimesNewRoman,Bold"/>
          <w:b/>
          <w:bCs/>
          <w:sz w:val="24"/>
          <w:szCs w:val="24"/>
        </w:rPr>
        <w:t xml:space="preserve">       </w:t>
      </w:r>
    </w:p>
    <w:p w14:paraId="64B528DC" w14:textId="77777777" w:rsidR="003108FC" w:rsidRPr="00CC4F8D" w:rsidRDefault="003108FC" w:rsidP="003108FC">
      <w:pPr>
        <w:autoSpaceDE w:val="0"/>
        <w:autoSpaceDN w:val="0"/>
        <w:adjustRightInd w:val="0"/>
        <w:ind w:right="540"/>
        <w:rPr>
          <w:rFonts w:ascii="TimesNewRoman,Bold" w:hAnsi="TimesNewRoman,Bold" w:cs="TimesNewRoman,Bold"/>
          <w:b/>
          <w:bCs/>
          <w:sz w:val="24"/>
          <w:szCs w:val="24"/>
        </w:rPr>
      </w:pPr>
    </w:p>
    <w:p w14:paraId="14ED5F29" w14:textId="77777777" w:rsidR="003108FC" w:rsidRPr="00175451" w:rsidRDefault="003108FC" w:rsidP="003108FC">
      <w:pPr>
        <w:autoSpaceDE w:val="0"/>
        <w:autoSpaceDN w:val="0"/>
        <w:adjustRightInd w:val="0"/>
        <w:ind w:right="720"/>
        <w:rPr>
          <w:rFonts w:ascii="Calibri" w:hAnsi="Calibri" w:cs="Arial"/>
          <w:bCs/>
          <w:sz w:val="24"/>
          <w:szCs w:val="24"/>
        </w:rPr>
      </w:pPr>
      <w:r w:rsidRPr="00175451">
        <w:rPr>
          <w:rFonts w:ascii="Calibri" w:hAnsi="Calibri" w:cs="Arial"/>
          <w:b/>
          <w:bCs/>
          <w:sz w:val="24"/>
          <w:szCs w:val="24"/>
        </w:rPr>
        <w:t xml:space="preserve">ISSUE:  </w:t>
      </w:r>
      <w:r w:rsidRPr="00175451">
        <w:rPr>
          <w:rFonts w:ascii="Calibri" w:hAnsi="Calibri" w:cs="Arial"/>
          <w:bCs/>
          <w:sz w:val="24"/>
          <w:szCs w:val="24"/>
        </w:rPr>
        <w:t>How shall the floor area accessory structures be determined?</w:t>
      </w:r>
    </w:p>
    <w:p w14:paraId="71685633" w14:textId="77777777" w:rsidR="003108FC" w:rsidRPr="00175451" w:rsidRDefault="003108FC" w:rsidP="003108FC">
      <w:pPr>
        <w:autoSpaceDE w:val="0"/>
        <w:autoSpaceDN w:val="0"/>
        <w:adjustRightInd w:val="0"/>
        <w:ind w:right="720"/>
        <w:rPr>
          <w:rFonts w:ascii="Calibri" w:hAnsi="Calibri" w:cs="Arial"/>
          <w:bCs/>
          <w:sz w:val="24"/>
          <w:szCs w:val="24"/>
        </w:rPr>
      </w:pPr>
    </w:p>
    <w:p w14:paraId="4ABFC61B" w14:textId="77777777" w:rsidR="003108FC" w:rsidRPr="00175451" w:rsidRDefault="003108FC" w:rsidP="003108FC">
      <w:pPr>
        <w:autoSpaceDE w:val="0"/>
        <w:autoSpaceDN w:val="0"/>
        <w:adjustRightInd w:val="0"/>
        <w:ind w:right="720"/>
        <w:rPr>
          <w:rFonts w:ascii="Calibri" w:hAnsi="Calibri" w:cs="Arial"/>
          <w:bCs/>
          <w:sz w:val="24"/>
          <w:szCs w:val="24"/>
        </w:rPr>
      </w:pPr>
      <w:r w:rsidRPr="00175451">
        <w:rPr>
          <w:rFonts w:ascii="Calibri" w:hAnsi="Calibri" w:cs="Arial"/>
          <w:b/>
          <w:bCs/>
          <w:sz w:val="24"/>
          <w:szCs w:val="24"/>
        </w:rPr>
        <w:t>ANALYSIS:</w:t>
      </w:r>
      <w:r w:rsidRPr="00175451">
        <w:rPr>
          <w:rFonts w:ascii="Calibri" w:hAnsi="Calibri" w:cs="Arial"/>
          <w:bCs/>
          <w:sz w:val="24"/>
          <w:szCs w:val="24"/>
        </w:rPr>
        <w:t xml:space="preserve">  The International Residential Code (IRC) exempts accessory structures of less </w:t>
      </w:r>
      <w:proofErr w:type="spellStart"/>
      <w:r w:rsidRPr="00175451">
        <w:rPr>
          <w:rFonts w:ascii="Calibri" w:hAnsi="Calibri" w:cs="Arial"/>
          <w:bCs/>
          <w:sz w:val="24"/>
          <w:szCs w:val="24"/>
        </w:rPr>
        <w:t>then</w:t>
      </w:r>
      <w:proofErr w:type="spellEnd"/>
      <w:r w:rsidRPr="00175451">
        <w:rPr>
          <w:rFonts w:ascii="Calibri" w:hAnsi="Calibri" w:cs="Arial"/>
          <w:bCs/>
          <w:sz w:val="24"/>
          <w:szCs w:val="24"/>
        </w:rPr>
        <w:t xml:space="preserve"> or equal to 120 square feet from permitting and inspection requirements. Additionally, the San Juan County Unified Development Code (UDC) Shore Line Master Program limits the number of accessory structures over 200 square feet allowed on shoreline properties. How is the square footage of these structures to be measured? Is it to be measured from the outside or inside of the exterior wall? Does it include eaves, porch covers, or other roof projections? Does it include uncovered exterior decks? </w:t>
      </w:r>
    </w:p>
    <w:p w14:paraId="3A1FE315" w14:textId="77777777" w:rsidR="003108FC" w:rsidRPr="00175451" w:rsidRDefault="003108FC" w:rsidP="003108FC">
      <w:pPr>
        <w:autoSpaceDE w:val="0"/>
        <w:autoSpaceDN w:val="0"/>
        <w:adjustRightInd w:val="0"/>
        <w:ind w:right="720"/>
        <w:rPr>
          <w:rFonts w:ascii="Calibri" w:hAnsi="Calibri" w:cs="Arial"/>
          <w:bCs/>
          <w:sz w:val="24"/>
          <w:szCs w:val="24"/>
        </w:rPr>
      </w:pPr>
    </w:p>
    <w:p w14:paraId="74577E55" w14:textId="77777777" w:rsidR="003108FC" w:rsidRPr="00175451" w:rsidRDefault="003108FC" w:rsidP="003108FC">
      <w:pPr>
        <w:autoSpaceDE w:val="0"/>
        <w:autoSpaceDN w:val="0"/>
        <w:adjustRightInd w:val="0"/>
        <w:ind w:right="720"/>
        <w:rPr>
          <w:rFonts w:ascii="Calibri" w:hAnsi="Calibri" w:cs="Arial"/>
          <w:bCs/>
          <w:sz w:val="24"/>
          <w:szCs w:val="24"/>
        </w:rPr>
      </w:pPr>
      <w:r w:rsidRPr="00175451">
        <w:rPr>
          <w:rFonts w:ascii="Calibri" w:hAnsi="Calibri" w:cs="Arial"/>
          <w:bCs/>
          <w:sz w:val="24"/>
          <w:szCs w:val="24"/>
        </w:rPr>
        <w:t xml:space="preserve">Neither the IRC nor the UDC provides a clear definition of how to measure this square footage. However, Section R201.3 of the IRC states that when terms are not defined within the IRC their meaning shall be “ascribed to them as in other code publications of the International Code Council.”  </w:t>
      </w:r>
    </w:p>
    <w:p w14:paraId="5B967DAF" w14:textId="77777777" w:rsidR="003108FC" w:rsidRPr="00175451" w:rsidRDefault="003108FC" w:rsidP="003108FC">
      <w:pPr>
        <w:autoSpaceDE w:val="0"/>
        <w:autoSpaceDN w:val="0"/>
        <w:adjustRightInd w:val="0"/>
        <w:ind w:right="720"/>
        <w:rPr>
          <w:rFonts w:ascii="Calibri" w:hAnsi="Calibri" w:cs="Arial"/>
          <w:bCs/>
          <w:sz w:val="24"/>
          <w:szCs w:val="24"/>
        </w:rPr>
      </w:pPr>
    </w:p>
    <w:p w14:paraId="376097B0" w14:textId="77777777" w:rsidR="003108FC" w:rsidRPr="00175451" w:rsidRDefault="003108FC" w:rsidP="003108FC">
      <w:pPr>
        <w:autoSpaceDE w:val="0"/>
        <w:autoSpaceDN w:val="0"/>
        <w:adjustRightInd w:val="0"/>
        <w:ind w:right="720"/>
        <w:rPr>
          <w:rFonts w:ascii="Calibri" w:hAnsi="Calibri" w:cs="Arial"/>
          <w:bCs/>
          <w:sz w:val="24"/>
          <w:szCs w:val="24"/>
        </w:rPr>
      </w:pPr>
      <w:r w:rsidRPr="00175451">
        <w:rPr>
          <w:rFonts w:ascii="Calibri" w:hAnsi="Calibri" w:cs="Arial"/>
          <w:bCs/>
          <w:sz w:val="24"/>
          <w:szCs w:val="24"/>
        </w:rPr>
        <w:t xml:space="preserve">Section 502.1 of the International Building Code (IBC) defines “building area” as “The area included within surrounding exterior walls exclusive of vent shafts and courts. Areas of the building not provided with surrounding walls shall be included in the building area if such areas are included within the horizontal projections of the roof or floor above.” </w:t>
      </w:r>
    </w:p>
    <w:p w14:paraId="0FA8111C" w14:textId="77777777" w:rsidR="003108FC" w:rsidRPr="00175451" w:rsidRDefault="003108FC" w:rsidP="003108FC">
      <w:pPr>
        <w:autoSpaceDE w:val="0"/>
        <w:autoSpaceDN w:val="0"/>
        <w:adjustRightInd w:val="0"/>
        <w:ind w:right="720"/>
        <w:rPr>
          <w:rFonts w:ascii="Calibri" w:hAnsi="Calibri" w:cs="Arial"/>
          <w:bCs/>
          <w:sz w:val="24"/>
          <w:szCs w:val="24"/>
        </w:rPr>
      </w:pPr>
    </w:p>
    <w:p w14:paraId="3DA50E4D" w14:textId="77777777" w:rsidR="003108FC" w:rsidRPr="00175451" w:rsidRDefault="003108FC" w:rsidP="003108FC">
      <w:pPr>
        <w:autoSpaceDE w:val="0"/>
        <w:autoSpaceDN w:val="0"/>
        <w:adjustRightInd w:val="0"/>
        <w:ind w:right="720"/>
        <w:rPr>
          <w:rFonts w:ascii="Calibri" w:hAnsi="Calibri" w:cs="Arial"/>
          <w:bCs/>
          <w:sz w:val="24"/>
          <w:szCs w:val="24"/>
        </w:rPr>
      </w:pPr>
      <w:r w:rsidRPr="00175451">
        <w:rPr>
          <w:rFonts w:ascii="Calibri" w:hAnsi="Calibri" w:cs="Arial"/>
          <w:bCs/>
          <w:sz w:val="24"/>
          <w:szCs w:val="24"/>
        </w:rPr>
        <w:t xml:space="preserve">Section 1002 of the IBC defines “gross floor area” as: </w:t>
      </w:r>
      <w:proofErr w:type="gramStart"/>
      <w:r w:rsidRPr="00175451">
        <w:rPr>
          <w:rFonts w:ascii="Calibri" w:hAnsi="Calibri" w:cs="Arial"/>
          <w:bCs/>
          <w:sz w:val="24"/>
          <w:szCs w:val="24"/>
        </w:rPr>
        <w:t>“ The</w:t>
      </w:r>
      <w:proofErr w:type="gramEnd"/>
      <w:r w:rsidRPr="00175451">
        <w:rPr>
          <w:rFonts w:ascii="Calibri" w:hAnsi="Calibri" w:cs="Arial"/>
          <w:bCs/>
          <w:sz w:val="24"/>
          <w:szCs w:val="24"/>
        </w:rPr>
        <w:t xml:space="preserve"> area within the inside perimeter of the exterior wall of the building under consideration, exclusive of vent shafts and courts, without deduction for corridors, stairways, closets, the thickness of interior walls, columns or other features. The floor area of the building, or portion thereof, not provided with surrounding exterior walls shall be the useable area under the horizontal projection of the roof or floor above. The gross floor area shall not include shafts with no openings or interior courts.”</w:t>
      </w:r>
    </w:p>
    <w:p w14:paraId="0022837B" w14:textId="77777777" w:rsidR="003108FC" w:rsidRPr="00175451" w:rsidRDefault="003108FC" w:rsidP="003108FC">
      <w:pPr>
        <w:autoSpaceDE w:val="0"/>
        <w:autoSpaceDN w:val="0"/>
        <w:adjustRightInd w:val="0"/>
        <w:ind w:right="720"/>
        <w:rPr>
          <w:rFonts w:ascii="Calibri" w:hAnsi="Calibri" w:cs="Arial"/>
          <w:bCs/>
          <w:sz w:val="24"/>
          <w:szCs w:val="24"/>
        </w:rPr>
      </w:pPr>
    </w:p>
    <w:p w14:paraId="471AC18D" w14:textId="77777777" w:rsidR="003108FC" w:rsidRPr="00175451" w:rsidRDefault="003108FC" w:rsidP="003108FC">
      <w:pPr>
        <w:autoSpaceDE w:val="0"/>
        <w:autoSpaceDN w:val="0"/>
        <w:adjustRightInd w:val="0"/>
        <w:ind w:right="720"/>
        <w:rPr>
          <w:rFonts w:ascii="Calibri" w:hAnsi="Calibri" w:cs="Arial"/>
          <w:bCs/>
          <w:sz w:val="24"/>
          <w:szCs w:val="24"/>
        </w:rPr>
      </w:pPr>
      <w:r w:rsidRPr="00175451">
        <w:rPr>
          <w:rFonts w:ascii="Calibri" w:hAnsi="Calibri" w:cs="Arial"/>
          <w:bCs/>
          <w:sz w:val="24"/>
          <w:szCs w:val="24"/>
        </w:rPr>
        <w:t xml:space="preserve">From these definitions </w:t>
      </w:r>
      <w:proofErr w:type="gramStart"/>
      <w:r w:rsidRPr="00175451">
        <w:rPr>
          <w:rFonts w:ascii="Calibri" w:hAnsi="Calibri" w:cs="Arial"/>
          <w:bCs/>
          <w:sz w:val="24"/>
          <w:szCs w:val="24"/>
        </w:rPr>
        <w:t>it is clear that the</w:t>
      </w:r>
      <w:proofErr w:type="gramEnd"/>
      <w:r w:rsidRPr="00175451">
        <w:rPr>
          <w:rFonts w:ascii="Calibri" w:hAnsi="Calibri" w:cs="Arial"/>
          <w:bCs/>
          <w:sz w:val="24"/>
          <w:szCs w:val="24"/>
        </w:rPr>
        <w:t xml:space="preserve"> floor or building area of a structure is measured from the interior face of the exterior walls. It is also clear that useable exterior space under a roof or other projection should be included in the floor area. However, </w:t>
      </w:r>
      <w:proofErr w:type="gramStart"/>
      <w:r w:rsidRPr="00175451">
        <w:rPr>
          <w:rFonts w:ascii="Calibri" w:hAnsi="Calibri" w:cs="Arial"/>
          <w:bCs/>
          <w:sz w:val="24"/>
          <w:szCs w:val="24"/>
        </w:rPr>
        <w:t>it is clear that the</w:t>
      </w:r>
      <w:proofErr w:type="gramEnd"/>
      <w:r w:rsidRPr="00175451">
        <w:rPr>
          <w:rFonts w:ascii="Calibri" w:hAnsi="Calibri" w:cs="Arial"/>
          <w:bCs/>
          <w:sz w:val="24"/>
          <w:szCs w:val="24"/>
        </w:rPr>
        <w:t xml:space="preserve"> square footage of exterior decks without a roof or floor above should not be included. </w:t>
      </w:r>
    </w:p>
    <w:p w14:paraId="68801D15" w14:textId="77777777" w:rsidR="003108FC" w:rsidRPr="00175451" w:rsidRDefault="003108FC" w:rsidP="003108FC">
      <w:pPr>
        <w:autoSpaceDE w:val="0"/>
        <w:autoSpaceDN w:val="0"/>
        <w:adjustRightInd w:val="0"/>
        <w:ind w:right="720"/>
        <w:rPr>
          <w:rFonts w:ascii="Calibri" w:hAnsi="Calibri" w:cs="Arial"/>
          <w:bCs/>
          <w:sz w:val="24"/>
          <w:szCs w:val="24"/>
        </w:rPr>
      </w:pPr>
    </w:p>
    <w:p w14:paraId="15E89535" w14:textId="77777777" w:rsidR="003108FC" w:rsidRPr="00175451" w:rsidRDefault="003108FC" w:rsidP="003108FC">
      <w:pPr>
        <w:ind w:right="720"/>
        <w:rPr>
          <w:rFonts w:ascii="Calibri" w:hAnsi="Calibri" w:cs="Arial"/>
          <w:sz w:val="24"/>
          <w:szCs w:val="24"/>
        </w:rPr>
      </w:pPr>
      <w:r w:rsidRPr="00175451">
        <w:rPr>
          <w:rFonts w:ascii="Calibri" w:hAnsi="Calibri" w:cs="Arial"/>
          <w:b/>
          <w:sz w:val="24"/>
          <w:szCs w:val="24"/>
        </w:rPr>
        <w:lastRenderedPageBreak/>
        <w:t xml:space="preserve">POLICY: </w:t>
      </w:r>
      <w:r w:rsidRPr="00175451">
        <w:rPr>
          <w:rFonts w:ascii="Calibri" w:hAnsi="Calibri" w:cs="Arial"/>
          <w:sz w:val="24"/>
          <w:szCs w:val="24"/>
        </w:rPr>
        <w:t xml:space="preserve">The following policy shall apply when determining the total floor or building area of detached accessory structures when determining IRC permitting exemption requirements and/or applying UDC shoreline size limits. </w:t>
      </w:r>
    </w:p>
    <w:p w14:paraId="16B0DF48" w14:textId="77777777" w:rsidR="003108FC" w:rsidRPr="00175451" w:rsidRDefault="003108FC" w:rsidP="003108FC">
      <w:pPr>
        <w:rPr>
          <w:rFonts w:ascii="Calibri" w:hAnsi="Calibri" w:cs="Arial"/>
          <w:sz w:val="24"/>
          <w:szCs w:val="24"/>
        </w:rPr>
      </w:pPr>
    </w:p>
    <w:p w14:paraId="1A729C82" w14:textId="77777777" w:rsidR="003108FC" w:rsidRPr="00175451" w:rsidRDefault="003108FC" w:rsidP="003108FC">
      <w:pPr>
        <w:numPr>
          <w:ilvl w:val="0"/>
          <w:numId w:val="1"/>
        </w:numPr>
        <w:tabs>
          <w:tab w:val="clear" w:pos="1440"/>
          <w:tab w:val="num" w:pos="1260"/>
        </w:tabs>
        <w:autoSpaceDE w:val="0"/>
        <w:autoSpaceDN w:val="0"/>
        <w:adjustRightInd w:val="0"/>
        <w:ind w:left="1260" w:right="720"/>
        <w:rPr>
          <w:rFonts w:ascii="Calibri" w:hAnsi="Calibri" w:cs="Arial"/>
          <w:bCs/>
          <w:sz w:val="24"/>
          <w:szCs w:val="24"/>
        </w:rPr>
      </w:pPr>
      <w:r w:rsidRPr="00175451">
        <w:rPr>
          <w:rFonts w:ascii="Calibri" w:hAnsi="Calibri" w:cs="Arial"/>
          <w:bCs/>
          <w:sz w:val="24"/>
          <w:szCs w:val="24"/>
        </w:rPr>
        <w:t xml:space="preserve">The floor or building area of a structure shall include the area of the structure as measured from the interior face of the exterior walls. </w:t>
      </w:r>
      <w:r w:rsidRPr="00175451">
        <w:rPr>
          <w:rFonts w:ascii="Calibri" w:hAnsi="Calibri" w:cs="Arial"/>
          <w:bCs/>
          <w:sz w:val="24"/>
          <w:szCs w:val="24"/>
        </w:rPr>
        <w:br/>
      </w:r>
    </w:p>
    <w:p w14:paraId="39EAE86A" w14:textId="77777777" w:rsidR="003108FC" w:rsidRPr="00175451" w:rsidRDefault="003108FC" w:rsidP="003108FC">
      <w:pPr>
        <w:numPr>
          <w:ilvl w:val="0"/>
          <w:numId w:val="1"/>
        </w:numPr>
        <w:tabs>
          <w:tab w:val="clear" w:pos="1440"/>
          <w:tab w:val="num" w:pos="1260"/>
        </w:tabs>
        <w:autoSpaceDE w:val="0"/>
        <w:autoSpaceDN w:val="0"/>
        <w:adjustRightInd w:val="0"/>
        <w:ind w:left="1260" w:right="720"/>
        <w:rPr>
          <w:rFonts w:ascii="Calibri" w:hAnsi="Calibri" w:cs="Arial"/>
          <w:sz w:val="24"/>
          <w:szCs w:val="24"/>
        </w:rPr>
      </w:pPr>
      <w:r w:rsidRPr="00175451">
        <w:rPr>
          <w:rFonts w:ascii="Calibri" w:hAnsi="Calibri" w:cs="Arial"/>
          <w:bCs/>
          <w:sz w:val="24"/>
          <w:szCs w:val="24"/>
        </w:rPr>
        <w:t>The area under roofs, eaves, overhangs, or similar projections which extend more than 2 feet beyond the exterior wall surface shall be presumed to create useable floor or building area and shall be include in the total calculated floor or building area.</w:t>
      </w:r>
      <w:r w:rsidRPr="00175451">
        <w:rPr>
          <w:rFonts w:ascii="Calibri" w:hAnsi="Calibri" w:cs="Arial"/>
          <w:bCs/>
          <w:sz w:val="24"/>
          <w:szCs w:val="24"/>
        </w:rPr>
        <w:br/>
      </w:r>
    </w:p>
    <w:p w14:paraId="03E30566" w14:textId="77777777" w:rsidR="003108FC" w:rsidRPr="00175451" w:rsidRDefault="003108FC" w:rsidP="003108FC">
      <w:pPr>
        <w:numPr>
          <w:ilvl w:val="0"/>
          <w:numId w:val="1"/>
        </w:numPr>
        <w:tabs>
          <w:tab w:val="clear" w:pos="1440"/>
          <w:tab w:val="num" w:pos="1260"/>
        </w:tabs>
        <w:autoSpaceDE w:val="0"/>
        <w:autoSpaceDN w:val="0"/>
        <w:adjustRightInd w:val="0"/>
        <w:ind w:left="1260" w:right="720"/>
        <w:rPr>
          <w:rFonts w:ascii="Calibri" w:hAnsi="Calibri" w:cs="Arial"/>
          <w:sz w:val="24"/>
          <w:szCs w:val="24"/>
        </w:rPr>
      </w:pPr>
      <w:r w:rsidRPr="00175451">
        <w:rPr>
          <w:rFonts w:ascii="Calibri" w:hAnsi="Calibri" w:cs="Arial"/>
          <w:bCs/>
          <w:sz w:val="24"/>
          <w:szCs w:val="24"/>
        </w:rPr>
        <w:t xml:space="preserve">The area of uncovered exterior decks shall not contribute to the total floor or building area. </w:t>
      </w:r>
    </w:p>
    <w:p w14:paraId="4F7CA057" w14:textId="77777777" w:rsidR="00C50742" w:rsidRDefault="00C50742"/>
    <w:sectPr w:rsidR="00C50742" w:rsidSect="00175451">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0B98" w14:textId="77777777" w:rsidR="00695180" w:rsidRDefault="00695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F2D8" w14:textId="77777777" w:rsidR="00695180" w:rsidRPr="00175451" w:rsidRDefault="00695180" w:rsidP="00175451">
    <w:pPr>
      <w:pStyle w:val="Footer"/>
      <w:tabs>
        <w:tab w:val="clear" w:pos="8640"/>
        <w:tab w:val="right" w:pos="10350"/>
      </w:tabs>
      <w:rPr>
        <w:rFonts w:ascii="Calibri" w:hAnsi="Calibri" w:cs="Arial"/>
        <w:sz w:val="16"/>
        <w:szCs w:val="18"/>
      </w:rPr>
    </w:pPr>
    <w:r w:rsidRPr="00790AF8">
      <w:rPr>
        <w:rFonts w:ascii="Calibri" w:hAnsi="Calibri" w:cs="Arial"/>
        <w:snapToGrid w:val="0"/>
        <w:sz w:val="16"/>
        <w:szCs w:val="18"/>
      </w:rPr>
      <w:fldChar w:fldCharType="begin"/>
    </w:r>
    <w:r w:rsidRPr="00790AF8">
      <w:rPr>
        <w:rFonts w:ascii="Calibri" w:hAnsi="Calibri" w:cs="Arial"/>
        <w:snapToGrid w:val="0"/>
        <w:sz w:val="16"/>
        <w:szCs w:val="18"/>
      </w:rPr>
      <w:instrText xml:space="preserve"> FILENAME \p </w:instrText>
    </w:r>
    <w:r>
      <w:rPr>
        <w:rFonts w:ascii="Calibri" w:hAnsi="Calibri" w:cs="Arial"/>
        <w:snapToGrid w:val="0"/>
        <w:sz w:val="16"/>
        <w:szCs w:val="18"/>
      </w:rPr>
      <w:fldChar w:fldCharType="separate"/>
    </w:r>
    <w:r>
      <w:rPr>
        <w:rFonts w:ascii="Calibri" w:hAnsi="Calibri" w:cs="Arial"/>
        <w:noProof/>
        <w:snapToGrid w:val="0"/>
        <w:sz w:val="16"/>
        <w:szCs w:val="18"/>
      </w:rPr>
      <w:t>N:\LAND USE\Reference Files\Policies &amp; Interpretations\Building &amp; Planning\BP-2007-10_FloorArea-Acc.doc</w:t>
    </w:r>
    <w:r w:rsidRPr="00790AF8">
      <w:rPr>
        <w:rFonts w:ascii="Calibri" w:hAnsi="Calibri" w:cs="Arial"/>
        <w:snapToGrid w:val="0"/>
        <w:sz w:val="16"/>
        <w:szCs w:val="18"/>
      </w:rPr>
      <w:fldChar w:fldCharType="end"/>
    </w:r>
    <w:r w:rsidRPr="00175451">
      <w:rPr>
        <w:rFonts w:ascii="Calibri" w:hAnsi="Calibri" w:cs="Arial"/>
        <w:snapToGrid w:val="0"/>
        <w:sz w:val="16"/>
        <w:szCs w:val="18"/>
      </w:rPr>
      <w:tab/>
    </w:r>
    <w:r w:rsidRPr="00175451">
      <w:rPr>
        <w:rFonts w:ascii="Calibri" w:hAnsi="Calibri" w:cs="Arial"/>
        <w:sz w:val="16"/>
        <w:szCs w:val="18"/>
      </w:rPr>
      <w:t xml:space="preserve">Page </w:t>
    </w:r>
    <w:r w:rsidRPr="00175451">
      <w:rPr>
        <w:rFonts w:ascii="Calibri" w:hAnsi="Calibri" w:cs="Arial"/>
        <w:sz w:val="16"/>
        <w:szCs w:val="18"/>
      </w:rPr>
      <w:fldChar w:fldCharType="begin"/>
    </w:r>
    <w:r w:rsidRPr="00175451">
      <w:rPr>
        <w:rFonts w:ascii="Calibri" w:hAnsi="Calibri" w:cs="Arial"/>
        <w:sz w:val="16"/>
        <w:szCs w:val="18"/>
      </w:rPr>
      <w:instrText xml:space="preserve"> PAGE </w:instrText>
    </w:r>
    <w:r w:rsidRPr="00175451">
      <w:rPr>
        <w:rFonts w:ascii="Calibri" w:hAnsi="Calibri" w:cs="Arial"/>
        <w:sz w:val="16"/>
        <w:szCs w:val="18"/>
      </w:rPr>
      <w:fldChar w:fldCharType="separate"/>
    </w:r>
    <w:r>
      <w:rPr>
        <w:rFonts w:ascii="Calibri" w:hAnsi="Calibri" w:cs="Arial"/>
        <w:noProof/>
        <w:sz w:val="16"/>
        <w:szCs w:val="18"/>
      </w:rPr>
      <w:t>1</w:t>
    </w:r>
    <w:r w:rsidRPr="00175451">
      <w:rPr>
        <w:rFonts w:ascii="Calibri" w:hAnsi="Calibri" w:cs="Arial"/>
        <w:sz w:val="16"/>
        <w:szCs w:val="18"/>
      </w:rPr>
      <w:fldChar w:fldCharType="end"/>
    </w:r>
    <w:r w:rsidRPr="00175451">
      <w:rPr>
        <w:rFonts w:ascii="Calibri" w:hAnsi="Calibri" w:cs="Arial"/>
        <w:sz w:val="16"/>
        <w:szCs w:val="18"/>
      </w:rPr>
      <w:t xml:space="preserve"> of </w:t>
    </w:r>
    <w:r w:rsidRPr="00175451">
      <w:rPr>
        <w:rFonts w:ascii="Calibri" w:hAnsi="Calibri" w:cs="Arial"/>
        <w:sz w:val="16"/>
        <w:szCs w:val="18"/>
      </w:rPr>
      <w:fldChar w:fldCharType="begin"/>
    </w:r>
    <w:r w:rsidRPr="00175451">
      <w:rPr>
        <w:rFonts w:ascii="Calibri" w:hAnsi="Calibri" w:cs="Arial"/>
        <w:sz w:val="16"/>
        <w:szCs w:val="18"/>
      </w:rPr>
      <w:instrText xml:space="preserve"> NUMPAGES </w:instrText>
    </w:r>
    <w:r w:rsidRPr="00175451">
      <w:rPr>
        <w:rFonts w:ascii="Calibri" w:hAnsi="Calibri" w:cs="Arial"/>
        <w:sz w:val="16"/>
        <w:szCs w:val="18"/>
      </w:rPr>
      <w:fldChar w:fldCharType="separate"/>
    </w:r>
    <w:r>
      <w:rPr>
        <w:rFonts w:ascii="Calibri" w:hAnsi="Calibri" w:cs="Arial"/>
        <w:noProof/>
        <w:sz w:val="16"/>
        <w:szCs w:val="18"/>
      </w:rPr>
      <w:t>2</w:t>
    </w:r>
    <w:r w:rsidRPr="00175451">
      <w:rPr>
        <w:rFonts w:ascii="Calibri" w:hAnsi="Calibri" w:cs="Arial"/>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D177" w14:textId="77777777" w:rsidR="00695180" w:rsidRDefault="0069518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DA32" w14:textId="77777777" w:rsidR="00695180" w:rsidRDefault="00695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3C2E" w14:textId="77777777" w:rsidR="00695180" w:rsidRDefault="00695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0DDE" w14:textId="77777777" w:rsidR="00695180" w:rsidRDefault="00695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52"/>
    <w:multiLevelType w:val="hybridMultilevel"/>
    <w:tmpl w:val="EA3A67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238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FC"/>
    <w:rsid w:val="003108FC"/>
    <w:rsid w:val="00695180"/>
    <w:rsid w:val="00C5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6593C47"/>
  <w15:chartTrackingRefBased/>
  <w15:docId w15:val="{FCD3D075-4893-4A61-891C-98B29323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8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08FC"/>
    <w:pPr>
      <w:tabs>
        <w:tab w:val="center" w:pos="4320"/>
        <w:tab w:val="right" w:pos="8640"/>
      </w:tabs>
    </w:pPr>
    <w:rPr>
      <w:rFonts w:ascii="Arial" w:hAnsi="Arial"/>
    </w:rPr>
  </w:style>
  <w:style w:type="character" w:customStyle="1" w:styleId="HeaderChar">
    <w:name w:val="Header Char"/>
    <w:basedOn w:val="DefaultParagraphFont"/>
    <w:link w:val="Header"/>
    <w:rsid w:val="003108FC"/>
    <w:rPr>
      <w:rFonts w:ascii="Arial" w:eastAsia="Times New Roman" w:hAnsi="Arial" w:cs="Times New Roman"/>
      <w:sz w:val="20"/>
      <w:szCs w:val="20"/>
    </w:rPr>
  </w:style>
  <w:style w:type="paragraph" w:styleId="Footer">
    <w:name w:val="footer"/>
    <w:basedOn w:val="Normal"/>
    <w:link w:val="FooterChar"/>
    <w:rsid w:val="003108FC"/>
    <w:pPr>
      <w:tabs>
        <w:tab w:val="center" w:pos="4320"/>
        <w:tab w:val="right" w:pos="8640"/>
      </w:tabs>
    </w:pPr>
  </w:style>
  <w:style w:type="character" w:customStyle="1" w:styleId="FooterChar">
    <w:name w:val="Footer Char"/>
    <w:basedOn w:val="DefaultParagraphFont"/>
    <w:link w:val="Footer"/>
    <w:rsid w:val="003108F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2953</Characters>
  <Application>Microsoft Office Word</Application>
  <DocSecurity>0</DocSecurity>
  <Lines>24</Lines>
  <Paragraphs>6</Paragraphs>
  <ScaleCrop>false</ScaleCrop>
  <Company>San Juan County</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Dickey</dc:creator>
  <cp:keywords/>
  <dc:description/>
  <cp:lastModifiedBy>Erika Dickey</cp:lastModifiedBy>
  <cp:revision>2</cp:revision>
  <dcterms:created xsi:type="dcterms:W3CDTF">2023-09-27T16:47:00Z</dcterms:created>
  <dcterms:modified xsi:type="dcterms:W3CDTF">2023-09-27T16:50:00Z</dcterms:modified>
</cp:coreProperties>
</file>